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C156" w14:textId="77777777" w:rsidR="008D5859" w:rsidRDefault="008D5859" w:rsidP="008D5859">
      <w:pPr>
        <w:pStyle w:val="Default"/>
      </w:pPr>
    </w:p>
    <w:p w14:paraId="116269EC" w14:textId="77777777" w:rsidR="008D5859" w:rsidRDefault="008D5859" w:rsidP="008D5859">
      <w:pPr>
        <w:rPr>
          <w:rFonts w:ascii="Garamond" w:hAnsi="Garamond"/>
        </w:rPr>
      </w:pPr>
      <w:r w:rsidRPr="001079F9">
        <w:rPr>
          <w:rFonts w:ascii="Palatino Linotype" w:hAnsi="Palatino Linotype" w:cs="Calibri"/>
          <w:noProof/>
        </w:rPr>
        <w:drawing>
          <wp:anchor distT="0" distB="0" distL="114300" distR="114300" simplePos="0" relativeHeight="251661312" behindDoc="0" locked="0" layoutInCell="1" allowOverlap="1" wp14:anchorId="41311A6E" wp14:editId="13CFC375">
            <wp:simplePos x="0" y="0"/>
            <wp:positionH relativeFrom="column">
              <wp:posOffset>9525</wp:posOffset>
            </wp:positionH>
            <wp:positionV relativeFrom="paragraph">
              <wp:posOffset>85725</wp:posOffset>
            </wp:positionV>
            <wp:extent cx="809625" cy="790575"/>
            <wp:effectExtent l="0" t="0" r="9525" b="9525"/>
            <wp:wrapNone/>
            <wp:docPr id="1244606075" name="Picture 1" descr="f:\prog\wp51\graphics\kvkpcx.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rog\wp51\graphics\kvkpcx.w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l="43132" t="6674" r="26378" b="23102"/>
                    <a:stretch>
                      <a:fillRect/>
                    </a:stretch>
                  </pic:blipFill>
                  <pic:spPr bwMode="auto">
                    <a:xfrm>
                      <a:off x="0" y="0"/>
                      <a:ext cx="814200" cy="7950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62B20" w14:textId="11514EC2" w:rsidR="008D5859" w:rsidRPr="008D5859" w:rsidRDefault="008D5859" w:rsidP="008D5859">
      <w:pPr>
        <w:tabs>
          <w:tab w:val="center" w:pos="5482"/>
        </w:tabs>
        <w:suppressAutoHyphens/>
        <w:spacing w:after="0"/>
        <w:jc w:val="center"/>
        <w:rPr>
          <w:rFonts w:ascii="Palatino Linotype" w:hAnsi="Palatino Linotype" w:cs="Calibri"/>
          <w:b/>
          <w:sz w:val="32"/>
          <w:szCs w:val="32"/>
          <w:lang w:val="en-US"/>
        </w:rPr>
      </w:pPr>
      <w:r w:rsidRPr="008D5859">
        <w:rPr>
          <w:rFonts w:ascii="Palatino Linotype" w:hAnsi="Palatino Linotype" w:cs="Calibri"/>
          <w:b/>
          <w:sz w:val="32"/>
          <w:szCs w:val="32"/>
          <w:lang w:val="en-US"/>
        </w:rPr>
        <w:t>INFORMATION ON THE UBO-REGISTER</w:t>
      </w:r>
    </w:p>
    <w:p w14:paraId="1D11210F" w14:textId="77777777" w:rsidR="008D5859" w:rsidRDefault="008D5859" w:rsidP="008D5859">
      <w:pPr>
        <w:pStyle w:val="Default"/>
        <w:rPr>
          <w:b/>
          <w:bCs/>
          <w:sz w:val="32"/>
          <w:szCs w:val="32"/>
          <w:lang w:val="en-US"/>
        </w:rPr>
      </w:pPr>
    </w:p>
    <w:p w14:paraId="4068311A" w14:textId="77777777" w:rsidR="008D5859" w:rsidRDefault="008D5859" w:rsidP="008D5859">
      <w:pPr>
        <w:pStyle w:val="Default"/>
        <w:rPr>
          <w:b/>
          <w:bCs/>
          <w:sz w:val="32"/>
          <w:szCs w:val="32"/>
          <w:lang w:val="en-US"/>
        </w:rPr>
      </w:pPr>
    </w:p>
    <w:p w14:paraId="28CCFB28"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The Chamber of Commerce and Industry has been designated as the entity responsible for maintaining the UBO register. The tasks related to the registration of data and the provision of information to the competent authorities are carried out by the Secretary of the Chamber. </w:t>
      </w:r>
    </w:p>
    <w:p w14:paraId="601E3ADD" w14:textId="77777777" w:rsidR="008D5859" w:rsidRPr="006461A4" w:rsidRDefault="008D5859" w:rsidP="008D5859">
      <w:pPr>
        <w:pStyle w:val="Default"/>
        <w:rPr>
          <w:rFonts w:asciiTheme="majorHAnsi" w:hAnsiTheme="majorHAnsi" w:cs="Times New Roman"/>
          <w:lang w:val="en-US"/>
        </w:rPr>
      </w:pPr>
    </w:p>
    <w:p w14:paraId="35B06A8A" w14:textId="5ACC0665"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The UBO register is a closed register; only the competent authorities mentioned in the law have the right to access the register, and only insofar as they act within the scope of their legal duties or powers. </w:t>
      </w:r>
    </w:p>
    <w:p w14:paraId="5E5885D1" w14:textId="77777777" w:rsidR="008D5859" w:rsidRPr="006461A4" w:rsidRDefault="008D5859" w:rsidP="008D5859">
      <w:pPr>
        <w:pStyle w:val="Default"/>
        <w:rPr>
          <w:rFonts w:asciiTheme="majorHAnsi" w:hAnsiTheme="majorHAnsi" w:cs="Times New Roman"/>
          <w:b/>
          <w:bCs/>
          <w:lang w:val="en-US"/>
        </w:rPr>
      </w:pPr>
    </w:p>
    <w:p w14:paraId="4BF3FA89" w14:textId="02C518E4"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t xml:space="preserve">Background </w:t>
      </w:r>
    </w:p>
    <w:p w14:paraId="69DF41C5"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The National Decree of 7 June 2024 stipulates that legal entities already registered in the Commercial Register at the time the law comes into force (as of 7 June 2024) must submit their mandatory UBO filings within twelve months following the first day of the month after the decree's effective date. Legal entities have therefore had the time to comply; the deadline is 1 July 2025. </w:t>
      </w:r>
    </w:p>
    <w:p w14:paraId="36093D2D" w14:textId="77777777" w:rsidR="008D5859" w:rsidRPr="006461A4" w:rsidRDefault="008D5859" w:rsidP="008D5859">
      <w:pPr>
        <w:pStyle w:val="Default"/>
        <w:rPr>
          <w:rFonts w:asciiTheme="majorHAnsi" w:hAnsiTheme="majorHAnsi" w:cs="Times New Roman"/>
          <w:b/>
          <w:bCs/>
          <w:lang w:val="en-US"/>
        </w:rPr>
      </w:pPr>
    </w:p>
    <w:p w14:paraId="34EB00E7" w14:textId="05129C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t xml:space="preserve">Portal for Digital Submission </w:t>
      </w:r>
    </w:p>
    <w:p w14:paraId="368E6BB2"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During the past months, UBO submissions could be made via the email address </w:t>
      </w:r>
      <w:proofErr w:type="spellStart"/>
      <w:r w:rsidRPr="006461A4">
        <w:rPr>
          <w:rFonts w:asciiTheme="majorHAnsi" w:hAnsiTheme="majorHAnsi" w:cs="Times New Roman"/>
          <w:lang w:val="en-US"/>
        </w:rPr>
        <w:t>ubo@curacao-chamber.cw</w:t>
      </w:r>
      <w:proofErr w:type="spellEnd"/>
      <w:r w:rsidRPr="006461A4">
        <w:rPr>
          <w:rFonts w:asciiTheme="majorHAnsi" w:hAnsiTheme="majorHAnsi" w:cs="Times New Roman"/>
          <w:lang w:val="en-US"/>
        </w:rPr>
        <w:t xml:space="preserve">. This email address is now only available for inquiries. The Chamber has since replaced the email process with an online portal for submitting the required Ultimate Beneficial Owner (UBO) registration in the prescribed manner. The portal provides guidance on the required data and documents based on the entity’s legal form. It can be accessed via the Chamber’s website or directly via </w:t>
      </w:r>
      <w:proofErr w:type="gramStart"/>
      <w:r w:rsidRPr="006461A4">
        <w:rPr>
          <w:rFonts w:asciiTheme="majorHAnsi" w:hAnsiTheme="majorHAnsi" w:cs="Times New Roman"/>
          <w:lang w:val="en-US"/>
        </w:rPr>
        <w:t>http://ubo.curacao-chamber.cw, and</w:t>
      </w:r>
      <w:proofErr w:type="gramEnd"/>
      <w:r w:rsidRPr="006461A4">
        <w:rPr>
          <w:rFonts w:asciiTheme="majorHAnsi" w:hAnsiTheme="majorHAnsi" w:cs="Times New Roman"/>
          <w:lang w:val="en-US"/>
        </w:rPr>
        <w:t xml:space="preserve"> meets the required technical and content-related security standards. </w:t>
      </w:r>
    </w:p>
    <w:p w14:paraId="18184DA3" w14:textId="77777777" w:rsidR="008D5859" w:rsidRPr="006461A4" w:rsidRDefault="008D5859" w:rsidP="008D5859">
      <w:pPr>
        <w:pStyle w:val="Default"/>
        <w:rPr>
          <w:rFonts w:asciiTheme="majorHAnsi" w:hAnsiTheme="majorHAnsi" w:cs="Times New Roman"/>
          <w:b/>
          <w:bCs/>
          <w:lang w:val="en-US"/>
        </w:rPr>
      </w:pPr>
    </w:p>
    <w:p w14:paraId="10C653F9" w14:textId="7767120B"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t xml:space="preserve">How the UBO Portal Works </w:t>
      </w:r>
    </w:p>
    <w:p w14:paraId="239035CD"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To submit a filing, a valid email address is required. The process involves the following steps: </w:t>
      </w:r>
    </w:p>
    <w:p w14:paraId="6E6CB1BE" w14:textId="77777777" w:rsidR="008D5859" w:rsidRPr="006461A4" w:rsidRDefault="008D5859" w:rsidP="008D5859">
      <w:pPr>
        <w:pStyle w:val="Default"/>
        <w:numPr>
          <w:ilvl w:val="0"/>
          <w:numId w:val="1"/>
        </w:numPr>
        <w:spacing w:after="27"/>
        <w:rPr>
          <w:rFonts w:asciiTheme="majorHAnsi" w:hAnsiTheme="majorHAnsi"/>
        </w:rPr>
      </w:pPr>
      <w:r w:rsidRPr="006461A4">
        <w:rPr>
          <w:rFonts w:asciiTheme="majorHAnsi" w:hAnsiTheme="majorHAnsi"/>
        </w:rPr>
        <w:t xml:space="preserve">Enter </w:t>
      </w:r>
      <w:proofErr w:type="spellStart"/>
      <w:r w:rsidRPr="006461A4">
        <w:rPr>
          <w:rFonts w:asciiTheme="majorHAnsi" w:hAnsiTheme="majorHAnsi"/>
        </w:rPr>
        <w:t>your</w:t>
      </w:r>
      <w:proofErr w:type="spellEnd"/>
      <w:r w:rsidRPr="006461A4">
        <w:rPr>
          <w:rFonts w:asciiTheme="majorHAnsi" w:hAnsiTheme="majorHAnsi"/>
        </w:rPr>
        <w:t xml:space="preserve"> email </w:t>
      </w:r>
      <w:proofErr w:type="spellStart"/>
      <w:r w:rsidRPr="006461A4">
        <w:rPr>
          <w:rFonts w:asciiTheme="majorHAnsi" w:hAnsiTheme="majorHAnsi"/>
        </w:rPr>
        <w:t>address</w:t>
      </w:r>
      <w:proofErr w:type="spellEnd"/>
      <w:r w:rsidRPr="006461A4">
        <w:rPr>
          <w:rFonts w:asciiTheme="majorHAnsi" w:hAnsiTheme="majorHAnsi"/>
        </w:rPr>
        <w:t xml:space="preserve">; </w:t>
      </w:r>
    </w:p>
    <w:p w14:paraId="5AEBAFAC" w14:textId="77777777" w:rsidR="008D5859" w:rsidRPr="006461A4" w:rsidRDefault="008D5859" w:rsidP="008D5859">
      <w:pPr>
        <w:pStyle w:val="Default"/>
        <w:numPr>
          <w:ilvl w:val="0"/>
          <w:numId w:val="1"/>
        </w:numPr>
        <w:spacing w:after="27"/>
        <w:rPr>
          <w:rFonts w:asciiTheme="majorHAnsi" w:hAnsiTheme="majorHAnsi" w:cs="Times New Roman"/>
          <w:lang w:val="en-US"/>
        </w:rPr>
      </w:pPr>
      <w:r w:rsidRPr="006461A4">
        <w:rPr>
          <w:rFonts w:asciiTheme="majorHAnsi" w:hAnsiTheme="majorHAnsi" w:cs="Times New Roman"/>
          <w:lang w:val="en-US"/>
        </w:rPr>
        <w:t>Create an account (you will receive a code via email</w:t>
      </w:r>
      <w:proofErr w:type="gramStart"/>
      <w:r w:rsidRPr="006461A4">
        <w:rPr>
          <w:rFonts w:asciiTheme="majorHAnsi" w:hAnsiTheme="majorHAnsi" w:cs="Times New Roman"/>
          <w:lang w:val="en-US"/>
        </w:rPr>
        <w:t>);</w:t>
      </w:r>
      <w:proofErr w:type="gramEnd"/>
      <w:r w:rsidRPr="006461A4">
        <w:rPr>
          <w:rFonts w:asciiTheme="majorHAnsi" w:hAnsiTheme="majorHAnsi" w:cs="Times New Roman"/>
          <w:lang w:val="en-US"/>
        </w:rPr>
        <w:t xml:space="preserve"> </w:t>
      </w:r>
    </w:p>
    <w:p w14:paraId="1EBF37D2" w14:textId="77777777" w:rsidR="008D5859" w:rsidRPr="006461A4" w:rsidRDefault="008D5859" w:rsidP="008D5859">
      <w:pPr>
        <w:pStyle w:val="Default"/>
        <w:numPr>
          <w:ilvl w:val="0"/>
          <w:numId w:val="1"/>
        </w:numPr>
        <w:spacing w:after="27"/>
        <w:rPr>
          <w:rFonts w:asciiTheme="majorHAnsi" w:hAnsiTheme="majorHAnsi" w:cs="Times New Roman"/>
          <w:lang w:val="en-US"/>
        </w:rPr>
      </w:pPr>
      <w:r w:rsidRPr="006461A4">
        <w:rPr>
          <w:rFonts w:asciiTheme="majorHAnsi" w:hAnsiTheme="majorHAnsi" w:cs="Times New Roman"/>
          <w:lang w:val="en-US"/>
        </w:rPr>
        <w:t xml:space="preserve">Enter the code and create a </w:t>
      </w:r>
      <w:proofErr w:type="gramStart"/>
      <w:r w:rsidRPr="006461A4">
        <w:rPr>
          <w:rFonts w:asciiTheme="majorHAnsi" w:hAnsiTheme="majorHAnsi" w:cs="Times New Roman"/>
          <w:lang w:val="en-US"/>
        </w:rPr>
        <w:t>password;</w:t>
      </w:r>
      <w:proofErr w:type="gramEnd"/>
      <w:r w:rsidRPr="006461A4">
        <w:rPr>
          <w:rFonts w:asciiTheme="majorHAnsi" w:hAnsiTheme="majorHAnsi" w:cs="Times New Roman"/>
          <w:lang w:val="en-US"/>
        </w:rPr>
        <w:t xml:space="preserve"> </w:t>
      </w:r>
    </w:p>
    <w:p w14:paraId="28CD4111" w14:textId="77777777" w:rsidR="008D5859" w:rsidRPr="006461A4" w:rsidRDefault="008D5859" w:rsidP="008D5859">
      <w:pPr>
        <w:pStyle w:val="Default"/>
        <w:numPr>
          <w:ilvl w:val="0"/>
          <w:numId w:val="1"/>
        </w:numPr>
        <w:spacing w:after="27"/>
        <w:rPr>
          <w:rFonts w:asciiTheme="majorHAnsi" w:hAnsiTheme="majorHAnsi"/>
        </w:rPr>
      </w:pPr>
      <w:r w:rsidRPr="006461A4">
        <w:rPr>
          <w:rFonts w:asciiTheme="majorHAnsi" w:hAnsiTheme="majorHAnsi"/>
        </w:rPr>
        <w:t xml:space="preserve">Start a new </w:t>
      </w:r>
      <w:proofErr w:type="spellStart"/>
      <w:r w:rsidRPr="006461A4">
        <w:rPr>
          <w:rFonts w:asciiTheme="majorHAnsi" w:hAnsiTheme="majorHAnsi"/>
        </w:rPr>
        <w:t>filing</w:t>
      </w:r>
      <w:proofErr w:type="spellEnd"/>
      <w:r w:rsidRPr="006461A4">
        <w:rPr>
          <w:rFonts w:asciiTheme="majorHAnsi" w:hAnsiTheme="majorHAnsi"/>
        </w:rPr>
        <w:t xml:space="preserve">; </w:t>
      </w:r>
    </w:p>
    <w:p w14:paraId="6545F17B" w14:textId="77777777" w:rsidR="008D5859" w:rsidRPr="006461A4" w:rsidRDefault="008D5859" w:rsidP="008D5859">
      <w:pPr>
        <w:pStyle w:val="Default"/>
        <w:numPr>
          <w:ilvl w:val="0"/>
          <w:numId w:val="1"/>
        </w:numPr>
        <w:spacing w:after="27"/>
        <w:rPr>
          <w:rFonts w:asciiTheme="majorHAnsi" w:hAnsiTheme="majorHAnsi" w:cs="Times New Roman"/>
          <w:lang w:val="en-US"/>
        </w:rPr>
      </w:pPr>
      <w:r w:rsidRPr="006461A4">
        <w:rPr>
          <w:rFonts w:asciiTheme="majorHAnsi" w:hAnsiTheme="majorHAnsi" w:cs="Times New Roman"/>
          <w:lang w:val="en-US"/>
        </w:rPr>
        <w:t>Enter the entity’s Chamber registration number (search</w:t>
      </w:r>
      <w:proofErr w:type="gramStart"/>
      <w:r w:rsidRPr="006461A4">
        <w:rPr>
          <w:rFonts w:asciiTheme="majorHAnsi" w:hAnsiTheme="majorHAnsi" w:cs="Times New Roman"/>
          <w:lang w:val="en-US"/>
        </w:rPr>
        <w:t>);</w:t>
      </w:r>
      <w:proofErr w:type="gramEnd"/>
      <w:r w:rsidRPr="006461A4">
        <w:rPr>
          <w:rFonts w:asciiTheme="majorHAnsi" w:hAnsiTheme="majorHAnsi" w:cs="Times New Roman"/>
          <w:lang w:val="en-US"/>
        </w:rPr>
        <w:t xml:space="preserve"> </w:t>
      </w:r>
    </w:p>
    <w:p w14:paraId="474DE063" w14:textId="77777777" w:rsidR="008D5859" w:rsidRPr="006461A4" w:rsidRDefault="008D5859" w:rsidP="008D5859">
      <w:pPr>
        <w:pStyle w:val="Default"/>
        <w:numPr>
          <w:ilvl w:val="0"/>
          <w:numId w:val="1"/>
        </w:numPr>
        <w:spacing w:after="27"/>
        <w:rPr>
          <w:rFonts w:asciiTheme="majorHAnsi" w:hAnsiTheme="majorHAnsi"/>
        </w:rPr>
      </w:pPr>
      <w:r w:rsidRPr="006461A4">
        <w:rPr>
          <w:rFonts w:asciiTheme="majorHAnsi" w:hAnsiTheme="majorHAnsi"/>
        </w:rPr>
        <w:t xml:space="preserve">Enter </w:t>
      </w:r>
      <w:proofErr w:type="spellStart"/>
      <w:r w:rsidRPr="006461A4">
        <w:rPr>
          <w:rFonts w:asciiTheme="majorHAnsi" w:hAnsiTheme="majorHAnsi"/>
        </w:rPr>
        <w:t>the</w:t>
      </w:r>
      <w:proofErr w:type="spellEnd"/>
      <w:r w:rsidRPr="006461A4">
        <w:rPr>
          <w:rFonts w:asciiTheme="majorHAnsi" w:hAnsiTheme="majorHAnsi"/>
        </w:rPr>
        <w:t xml:space="preserve"> CRIB </w:t>
      </w:r>
      <w:proofErr w:type="spellStart"/>
      <w:r w:rsidRPr="006461A4">
        <w:rPr>
          <w:rFonts w:asciiTheme="majorHAnsi" w:hAnsiTheme="majorHAnsi"/>
        </w:rPr>
        <w:t>number</w:t>
      </w:r>
      <w:proofErr w:type="spellEnd"/>
      <w:r w:rsidRPr="006461A4">
        <w:rPr>
          <w:rFonts w:asciiTheme="majorHAnsi" w:hAnsiTheme="majorHAnsi"/>
        </w:rPr>
        <w:t xml:space="preserve">; </w:t>
      </w:r>
    </w:p>
    <w:p w14:paraId="11A6149A" w14:textId="77777777" w:rsidR="008D5859" w:rsidRPr="006461A4" w:rsidRDefault="008D5859" w:rsidP="008D5859">
      <w:pPr>
        <w:pStyle w:val="Default"/>
        <w:numPr>
          <w:ilvl w:val="0"/>
          <w:numId w:val="1"/>
        </w:numPr>
        <w:spacing w:after="27"/>
        <w:rPr>
          <w:rFonts w:asciiTheme="majorHAnsi" w:hAnsiTheme="majorHAnsi" w:cs="Times New Roman"/>
          <w:lang w:val="en-US"/>
        </w:rPr>
      </w:pPr>
      <w:r w:rsidRPr="006461A4">
        <w:rPr>
          <w:rFonts w:asciiTheme="majorHAnsi" w:hAnsiTheme="majorHAnsi" w:cs="Times New Roman"/>
          <w:lang w:val="en-US"/>
        </w:rPr>
        <w:t xml:space="preserve">Continue with entering the ultimate beneficial </w:t>
      </w:r>
      <w:proofErr w:type="gramStart"/>
      <w:r w:rsidRPr="006461A4">
        <w:rPr>
          <w:rFonts w:asciiTheme="majorHAnsi" w:hAnsiTheme="majorHAnsi" w:cs="Times New Roman"/>
          <w:lang w:val="en-US"/>
        </w:rPr>
        <w:t>owners;</w:t>
      </w:r>
      <w:proofErr w:type="gramEnd"/>
      <w:r w:rsidRPr="006461A4">
        <w:rPr>
          <w:rFonts w:asciiTheme="majorHAnsi" w:hAnsiTheme="majorHAnsi" w:cs="Times New Roman"/>
          <w:lang w:val="en-US"/>
        </w:rPr>
        <w:t xml:space="preserve"> </w:t>
      </w:r>
    </w:p>
    <w:p w14:paraId="2B711B3C" w14:textId="77777777" w:rsidR="008D5859" w:rsidRPr="006461A4" w:rsidRDefault="008D5859" w:rsidP="006461A4">
      <w:pPr>
        <w:pStyle w:val="Default"/>
        <w:numPr>
          <w:ilvl w:val="0"/>
          <w:numId w:val="1"/>
        </w:numPr>
        <w:ind w:left="720" w:hanging="720"/>
        <w:rPr>
          <w:rFonts w:asciiTheme="majorHAnsi" w:hAnsiTheme="majorHAnsi" w:cs="Times New Roman"/>
          <w:lang w:val="en-US"/>
        </w:rPr>
      </w:pPr>
      <w:r w:rsidRPr="006461A4">
        <w:rPr>
          <w:rFonts w:asciiTheme="majorHAnsi" w:hAnsiTheme="majorHAnsi" w:cs="Times New Roman"/>
          <w:lang w:val="en-US"/>
        </w:rPr>
        <w:t xml:space="preserve">Where necessary, the portal indicates (as much as possible by legal form) which documents need to be uploaded. </w:t>
      </w:r>
    </w:p>
    <w:p w14:paraId="2D2E849F" w14:textId="77777777" w:rsidR="008D5859" w:rsidRPr="006461A4" w:rsidRDefault="008D5859" w:rsidP="008D5859">
      <w:pPr>
        <w:pStyle w:val="Default"/>
        <w:rPr>
          <w:rFonts w:asciiTheme="majorHAnsi" w:hAnsiTheme="majorHAnsi" w:cs="Times New Roman"/>
          <w:lang w:val="en-US"/>
        </w:rPr>
      </w:pPr>
    </w:p>
    <w:p w14:paraId="6CA28799" w14:textId="5B5D2FBC"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After submission—of which </w:t>
      </w:r>
      <w:proofErr w:type="gramStart"/>
      <w:r w:rsidRPr="006461A4">
        <w:rPr>
          <w:rFonts w:asciiTheme="majorHAnsi" w:hAnsiTheme="majorHAnsi" w:cs="Times New Roman"/>
          <w:lang w:val="en-US"/>
        </w:rPr>
        <w:t>a confirmation</w:t>
      </w:r>
      <w:proofErr w:type="gramEnd"/>
      <w:r w:rsidRPr="006461A4">
        <w:rPr>
          <w:rFonts w:asciiTheme="majorHAnsi" w:hAnsiTheme="majorHAnsi" w:cs="Times New Roman"/>
          <w:lang w:val="en-US"/>
        </w:rPr>
        <w:t xml:space="preserve"> is sent—the Chamber will review the filing in a later phase to determine whether it complies with the applicable requirements, after which either further instructions or </w:t>
      </w:r>
      <w:proofErr w:type="gramStart"/>
      <w:r w:rsidRPr="006461A4">
        <w:rPr>
          <w:rFonts w:asciiTheme="majorHAnsi" w:hAnsiTheme="majorHAnsi" w:cs="Times New Roman"/>
          <w:lang w:val="en-US"/>
        </w:rPr>
        <w:t>a confirmation</w:t>
      </w:r>
      <w:proofErr w:type="gramEnd"/>
      <w:r w:rsidRPr="006461A4">
        <w:rPr>
          <w:rFonts w:asciiTheme="majorHAnsi" w:hAnsiTheme="majorHAnsi" w:cs="Times New Roman"/>
          <w:lang w:val="en-US"/>
        </w:rPr>
        <w:t xml:space="preserve"> of the registration will follow. </w:t>
      </w:r>
    </w:p>
    <w:p w14:paraId="3238EF7F" w14:textId="77777777" w:rsidR="008D5859" w:rsidRPr="006461A4" w:rsidRDefault="008D5859" w:rsidP="008D5859">
      <w:pPr>
        <w:pStyle w:val="Default"/>
        <w:pageBreakBefore/>
        <w:rPr>
          <w:rFonts w:asciiTheme="majorHAnsi" w:hAnsiTheme="majorHAnsi" w:cs="Times New Roman"/>
          <w:lang w:val="en-US"/>
        </w:rPr>
      </w:pPr>
      <w:r w:rsidRPr="006461A4">
        <w:rPr>
          <w:rFonts w:asciiTheme="majorHAnsi" w:hAnsiTheme="majorHAnsi" w:cs="Times New Roman"/>
          <w:b/>
          <w:bCs/>
          <w:lang w:val="en-US"/>
        </w:rPr>
        <w:lastRenderedPageBreak/>
        <w:t xml:space="preserve">Which Entities? </w:t>
      </w:r>
    </w:p>
    <w:p w14:paraId="2BD66191" w14:textId="77777777" w:rsid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Apart from a provision for publicly listed companies, there are no exceptions. </w:t>
      </w:r>
    </w:p>
    <w:p w14:paraId="242DD974" w14:textId="77777777" w:rsidR="006461A4" w:rsidRDefault="006461A4" w:rsidP="008D5859">
      <w:pPr>
        <w:pStyle w:val="Default"/>
        <w:rPr>
          <w:rFonts w:asciiTheme="majorHAnsi" w:hAnsiTheme="majorHAnsi" w:cs="Times New Roman"/>
          <w:lang w:val="en-US"/>
        </w:rPr>
      </w:pPr>
    </w:p>
    <w:p w14:paraId="4D4898CD" w14:textId="5A69B411"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The following entities (not sole proprietorships) are required to provide information about their ultimate beneficial owners: </w:t>
      </w:r>
    </w:p>
    <w:p w14:paraId="751ADD1E" w14:textId="77777777" w:rsidR="008D5859" w:rsidRPr="006461A4" w:rsidRDefault="008D5859" w:rsidP="008D5859">
      <w:pPr>
        <w:pStyle w:val="Default"/>
        <w:numPr>
          <w:ilvl w:val="0"/>
          <w:numId w:val="2"/>
        </w:numPr>
        <w:spacing w:after="27"/>
        <w:ind w:left="720" w:hanging="720"/>
        <w:rPr>
          <w:rFonts w:asciiTheme="majorHAnsi" w:hAnsiTheme="majorHAnsi" w:cs="Times New Roman"/>
          <w:lang w:val="en-US"/>
        </w:rPr>
      </w:pPr>
      <w:r w:rsidRPr="006461A4">
        <w:rPr>
          <w:rFonts w:asciiTheme="majorHAnsi" w:hAnsiTheme="majorHAnsi" w:cs="Times New Roman"/>
          <w:lang w:val="en-US"/>
        </w:rPr>
        <w:t>Foundations, private foundations, associations, cooperatives, mutual insurance associations, public limited companies (N.V.), and private limited companies (B.V.</w:t>
      </w:r>
      <w:proofErr w:type="gramStart"/>
      <w:r w:rsidRPr="006461A4">
        <w:rPr>
          <w:rFonts w:asciiTheme="majorHAnsi" w:hAnsiTheme="majorHAnsi" w:cs="Times New Roman"/>
          <w:lang w:val="en-US"/>
        </w:rPr>
        <w:t>);</w:t>
      </w:r>
      <w:proofErr w:type="gramEnd"/>
      <w:r w:rsidRPr="006461A4">
        <w:rPr>
          <w:rFonts w:asciiTheme="majorHAnsi" w:hAnsiTheme="majorHAnsi" w:cs="Times New Roman"/>
          <w:lang w:val="en-US"/>
        </w:rPr>
        <w:t xml:space="preserve"> </w:t>
      </w:r>
    </w:p>
    <w:p w14:paraId="22A1B047" w14:textId="77777777" w:rsidR="008D5859" w:rsidRPr="006461A4" w:rsidRDefault="008D5859" w:rsidP="008D5859">
      <w:pPr>
        <w:pStyle w:val="Default"/>
        <w:numPr>
          <w:ilvl w:val="0"/>
          <w:numId w:val="2"/>
        </w:numPr>
        <w:spacing w:after="27"/>
        <w:ind w:left="720" w:hanging="720"/>
        <w:rPr>
          <w:rFonts w:asciiTheme="majorHAnsi" w:hAnsiTheme="majorHAnsi" w:cs="Times New Roman"/>
          <w:lang w:val="en-US"/>
        </w:rPr>
      </w:pPr>
      <w:r w:rsidRPr="006461A4">
        <w:rPr>
          <w:rFonts w:asciiTheme="majorHAnsi" w:hAnsiTheme="majorHAnsi" w:cs="Times New Roman"/>
          <w:lang w:val="en-US"/>
        </w:rPr>
        <w:t xml:space="preserve">Partnerships established through an agreement between two or more </w:t>
      </w:r>
      <w:proofErr w:type="gramStart"/>
      <w:r w:rsidRPr="006461A4">
        <w:rPr>
          <w:rFonts w:asciiTheme="majorHAnsi" w:hAnsiTheme="majorHAnsi" w:cs="Times New Roman"/>
          <w:lang w:val="en-US"/>
        </w:rPr>
        <w:t>persons</w:t>
      </w:r>
      <w:proofErr w:type="gramEnd"/>
      <w:r w:rsidRPr="006461A4">
        <w:rPr>
          <w:rFonts w:asciiTheme="majorHAnsi" w:hAnsiTheme="majorHAnsi" w:cs="Times New Roman"/>
          <w:lang w:val="en-US"/>
        </w:rPr>
        <w:t xml:space="preserve"> for joint account, aimed at achieving financial benefit for all partners through individual </w:t>
      </w:r>
      <w:proofErr w:type="gramStart"/>
      <w:r w:rsidRPr="006461A4">
        <w:rPr>
          <w:rFonts w:asciiTheme="majorHAnsi" w:hAnsiTheme="majorHAnsi" w:cs="Times New Roman"/>
          <w:lang w:val="en-US"/>
        </w:rPr>
        <w:t>contributions;</w:t>
      </w:r>
      <w:proofErr w:type="gramEnd"/>
      <w:r w:rsidRPr="006461A4">
        <w:rPr>
          <w:rFonts w:asciiTheme="majorHAnsi" w:hAnsiTheme="majorHAnsi" w:cs="Times New Roman"/>
          <w:lang w:val="en-US"/>
        </w:rPr>
        <w:t xml:space="preserve"> </w:t>
      </w:r>
    </w:p>
    <w:p w14:paraId="2FF44852" w14:textId="2E08FD53" w:rsidR="008D5859" w:rsidRPr="006461A4" w:rsidRDefault="008D5859" w:rsidP="008D5859">
      <w:pPr>
        <w:pStyle w:val="Default"/>
        <w:numPr>
          <w:ilvl w:val="0"/>
          <w:numId w:val="2"/>
        </w:numPr>
        <w:spacing w:after="27"/>
        <w:ind w:left="720" w:hanging="720"/>
        <w:rPr>
          <w:rFonts w:asciiTheme="majorHAnsi" w:hAnsiTheme="majorHAnsi"/>
        </w:rPr>
      </w:pPr>
      <w:r w:rsidRPr="006461A4">
        <w:rPr>
          <w:rFonts w:asciiTheme="majorHAnsi" w:hAnsiTheme="majorHAnsi"/>
        </w:rPr>
        <w:t xml:space="preserve">Trusts; </w:t>
      </w:r>
    </w:p>
    <w:p w14:paraId="498731ED" w14:textId="77777777" w:rsidR="008D5859" w:rsidRPr="006461A4" w:rsidRDefault="008D5859" w:rsidP="008D5859">
      <w:pPr>
        <w:pStyle w:val="Default"/>
        <w:numPr>
          <w:ilvl w:val="0"/>
          <w:numId w:val="2"/>
        </w:numPr>
        <w:ind w:left="720" w:hanging="720"/>
        <w:rPr>
          <w:rFonts w:asciiTheme="majorHAnsi" w:hAnsiTheme="majorHAnsi" w:cs="Times New Roman"/>
          <w:lang w:val="en-US"/>
        </w:rPr>
      </w:pPr>
      <w:r w:rsidRPr="006461A4">
        <w:rPr>
          <w:rFonts w:asciiTheme="majorHAnsi" w:hAnsiTheme="majorHAnsi" w:cs="Times New Roman"/>
          <w:lang w:val="en-US"/>
        </w:rPr>
        <w:t xml:space="preserve">Similar legal arrangements or foreign legal entities that are comparable to one of the </w:t>
      </w:r>
      <w:proofErr w:type="gramStart"/>
      <w:r w:rsidRPr="006461A4">
        <w:rPr>
          <w:rFonts w:asciiTheme="majorHAnsi" w:hAnsiTheme="majorHAnsi" w:cs="Times New Roman"/>
          <w:lang w:val="en-US"/>
        </w:rPr>
        <w:t>aforementioned legal</w:t>
      </w:r>
      <w:proofErr w:type="gramEnd"/>
      <w:r w:rsidRPr="006461A4">
        <w:rPr>
          <w:rFonts w:asciiTheme="majorHAnsi" w:hAnsiTheme="majorHAnsi" w:cs="Times New Roman"/>
          <w:lang w:val="en-US"/>
        </w:rPr>
        <w:t xml:space="preserve"> forms. </w:t>
      </w:r>
    </w:p>
    <w:p w14:paraId="62933D84" w14:textId="77777777" w:rsidR="008D5859" w:rsidRPr="006461A4" w:rsidRDefault="008D5859" w:rsidP="008D5859">
      <w:pPr>
        <w:pStyle w:val="Default"/>
        <w:rPr>
          <w:rFonts w:asciiTheme="majorHAnsi" w:hAnsiTheme="majorHAnsi" w:cs="Times New Roman"/>
          <w:lang w:val="en-US"/>
        </w:rPr>
      </w:pPr>
    </w:p>
    <w:p w14:paraId="45ABEAC9"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This last point means that all main and branch offices in Curaçao of foreign legal entities are also required to submit UBO information for registration. </w:t>
      </w:r>
    </w:p>
    <w:p w14:paraId="24939BD8" w14:textId="77777777" w:rsidR="008D5859" w:rsidRPr="006461A4" w:rsidRDefault="008D5859" w:rsidP="008D5859">
      <w:pPr>
        <w:pStyle w:val="Default"/>
        <w:rPr>
          <w:rFonts w:asciiTheme="majorHAnsi" w:hAnsiTheme="majorHAnsi" w:cs="Times New Roman"/>
          <w:b/>
          <w:bCs/>
          <w:lang w:val="en-US"/>
        </w:rPr>
      </w:pPr>
    </w:p>
    <w:p w14:paraId="6F5B0831" w14:textId="12BAD53F"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t xml:space="preserve">Who Qualifies as a UBO? </w:t>
      </w:r>
    </w:p>
    <w:p w14:paraId="3FAB44F6" w14:textId="77777777" w:rsidR="008D5859" w:rsidRPr="006461A4" w:rsidRDefault="008D5859" w:rsidP="008D5859">
      <w:pPr>
        <w:pStyle w:val="Default"/>
        <w:rPr>
          <w:rFonts w:asciiTheme="majorHAnsi" w:hAnsiTheme="majorHAnsi" w:cs="Times New Roman"/>
          <w:b/>
          <w:bCs/>
          <w:lang w:val="en-US"/>
        </w:rPr>
      </w:pPr>
    </w:p>
    <w:p w14:paraId="1592537E" w14:textId="77777777" w:rsidR="006461A4" w:rsidRDefault="008D5859" w:rsidP="008D5859">
      <w:pPr>
        <w:pStyle w:val="Default"/>
        <w:rPr>
          <w:rFonts w:asciiTheme="majorHAnsi" w:hAnsiTheme="majorHAnsi" w:cs="Times New Roman"/>
          <w:b/>
          <w:bCs/>
          <w:lang w:val="en-US"/>
        </w:rPr>
      </w:pPr>
      <w:r w:rsidRPr="006461A4">
        <w:rPr>
          <w:rFonts w:asciiTheme="majorHAnsi" w:hAnsiTheme="majorHAnsi" w:cs="Times New Roman"/>
          <w:b/>
          <w:bCs/>
          <w:lang w:val="en-US"/>
        </w:rPr>
        <w:t xml:space="preserve">In General: </w:t>
      </w:r>
    </w:p>
    <w:p w14:paraId="0DEB25FB" w14:textId="77777777" w:rsid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a. A natural person who directly or indirectly owns or controls 25% or more of a legal entity. </w:t>
      </w:r>
    </w:p>
    <w:p w14:paraId="1735A275" w14:textId="77777777" w:rsid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b. If no such person exists or there is doubt, the person on whose behalf the transaction is conducted. </w:t>
      </w:r>
    </w:p>
    <w:p w14:paraId="12564494" w14:textId="111CC170"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c. If no such person is identified under a or b, or if there is doubt, the senior managing officials </w:t>
      </w:r>
      <w:proofErr w:type="gramStart"/>
      <w:r w:rsidRPr="006461A4">
        <w:rPr>
          <w:rFonts w:asciiTheme="majorHAnsi" w:hAnsiTheme="majorHAnsi" w:cs="Times New Roman"/>
          <w:lang w:val="en-US"/>
        </w:rPr>
        <w:t>or,</w:t>
      </w:r>
      <w:proofErr w:type="gramEnd"/>
      <w:r w:rsidRPr="006461A4">
        <w:rPr>
          <w:rFonts w:asciiTheme="majorHAnsi" w:hAnsiTheme="majorHAnsi" w:cs="Times New Roman"/>
          <w:lang w:val="en-US"/>
        </w:rPr>
        <w:t xml:space="preserve"> failing that, the board members. </w:t>
      </w:r>
    </w:p>
    <w:p w14:paraId="090E9584" w14:textId="77777777" w:rsidR="008D5859" w:rsidRPr="006461A4" w:rsidRDefault="008D5859" w:rsidP="008D5859">
      <w:pPr>
        <w:pStyle w:val="Default"/>
        <w:rPr>
          <w:rFonts w:asciiTheme="majorHAnsi" w:hAnsiTheme="majorHAnsi" w:cs="Times New Roman"/>
          <w:b/>
          <w:bCs/>
          <w:lang w:val="en-US"/>
        </w:rPr>
      </w:pPr>
    </w:p>
    <w:p w14:paraId="236F1B4B" w14:textId="77777777" w:rsidR="006461A4" w:rsidRDefault="008D5859" w:rsidP="008D5859">
      <w:pPr>
        <w:pStyle w:val="Default"/>
        <w:rPr>
          <w:rFonts w:asciiTheme="majorHAnsi" w:hAnsiTheme="majorHAnsi" w:cs="Times New Roman"/>
          <w:b/>
          <w:bCs/>
          <w:lang w:val="en-US"/>
        </w:rPr>
      </w:pPr>
      <w:r w:rsidRPr="006461A4">
        <w:rPr>
          <w:rFonts w:asciiTheme="majorHAnsi" w:hAnsiTheme="majorHAnsi" w:cs="Times New Roman"/>
          <w:b/>
          <w:bCs/>
          <w:lang w:val="en-US"/>
        </w:rPr>
        <w:t xml:space="preserve">Private and Public Limited Companies (B.V./N.V.): </w:t>
      </w:r>
    </w:p>
    <w:p w14:paraId="03E1719E" w14:textId="77777777" w:rsid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a. Persons who hold 25% or more of shares, voting rights, or ownership interests. </w:t>
      </w:r>
    </w:p>
    <w:p w14:paraId="12919026" w14:textId="7876E2A3"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b. If not applicable or unclear, the senior managing officials or board members. The same applies to other legal entities comparable to B.V.s or N.V.s, including foreign legal entities of similar structure. </w:t>
      </w:r>
    </w:p>
    <w:p w14:paraId="448CA2BB" w14:textId="77777777" w:rsidR="006461A4" w:rsidRDefault="008D5859" w:rsidP="008D5859">
      <w:pPr>
        <w:pStyle w:val="NormalWeb"/>
        <w:spacing w:after="0" w:afterAutospacing="0"/>
        <w:rPr>
          <w:rFonts w:asciiTheme="majorHAnsi" w:hAnsiTheme="majorHAnsi"/>
          <w:b/>
          <w:bCs/>
          <w:lang w:val="en-US"/>
        </w:rPr>
      </w:pPr>
      <w:r w:rsidRPr="006461A4">
        <w:rPr>
          <w:rFonts w:asciiTheme="majorHAnsi" w:hAnsiTheme="majorHAnsi"/>
          <w:b/>
          <w:bCs/>
          <w:lang w:val="en-US"/>
        </w:rPr>
        <w:t xml:space="preserve">Partnerships: </w:t>
      </w:r>
    </w:p>
    <w:p w14:paraId="27479F1E" w14:textId="612F0586" w:rsidR="008D5859" w:rsidRPr="006461A4" w:rsidRDefault="008D5859" w:rsidP="006461A4">
      <w:pPr>
        <w:pStyle w:val="NormalWeb"/>
        <w:spacing w:before="0" w:beforeAutospacing="0" w:after="0" w:afterAutospacing="0"/>
        <w:rPr>
          <w:rFonts w:asciiTheme="majorHAnsi" w:hAnsiTheme="majorHAnsi"/>
          <w:lang w:val="en-US"/>
        </w:rPr>
      </w:pPr>
      <w:r w:rsidRPr="006461A4">
        <w:rPr>
          <w:rFonts w:asciiTheme="majorHAnsi" w:hAnsiTheme="majorHAnsi"/>
          <w:lang w:val="en-US"/>
        </w:rPr>
        <w:t>a. Persons who, directly or indirectly, have a right to a share or voting rights, or who can exercise control over the company</w:t>
      </w:r>
      <w:r w:rsidR="006461A4">
        <w:rPr>
          <w:rFonts w:asciiTheme="majorHAnsi" w:hAnsiTheme="majorHAnsi"/>
          <w:lang w:val="en-US"/>
        </w:rPr>
        <w:t xml:space="preserve"> (there is no threshold)</w:t>
      </w:r>
      <w:r w:rsidRPr="006461A4">
        <w:rPr>
          <w:rFonts w:asciiTheme="majorHAnsi" w:hAnsiTheme="majorHAnsi"/>
          <w:lang w:val="en-US"/>
        </w:rPr>
        <w:t>.</w:t>
      </w:r>
    </w:p>
    <w:p w14:paraId="3CCE03F7" w14:textId="3D7AB391" w:rsidR="008D5859" w:rsidRPr="006461A4" w:rsidRDefault="008D5859" w:rsidP="006461A4">
      <w:pPr>
        <w:pStyle w:val="NormalWeb"/>
        <w:spacing w:before="0" w:beforeAutospacing="0"/>
        <w:rPr>
          <w:rFonts w:asciiTheme="majorHAnsi" w:hAnsiTheme="majorHAnsi"/>
          <w:lang w:val="en-US"/>
        </w:rPr>
      </w:pPr>
      <w:r w:rsidRPr="006461A4">
        <w:rPr>
          <w:rFonts w:asciiTheme="majorHAnsi" w:hAnsiTheme="majorHAnsi"/>
          <w:lang w:val="en-US"/>
        </w:rPr>
        <w:t>b. If no person can be identified who meets the criteria under (a), or if there is doubt as to who the ultimate owner or person with ultimate control is, or on whose behalf a transaction is carried out, the natural persons who form part of the senior management and are authorized to make binding decisions shall be considered. If there is no senior management authorized to make binding decisions, the natural person who is a member of the board or the management shall be considered.</w:t>
      </w:r>
    </w:p>
    <w:p w14:paraId="467AEEF3" w14:textId="25E5E9A8" w:rsidR="008D5859" w:rsidRPr="006461A4" w:rsidRDefault="008D5859" w:rsidP="008D5859">
      <w:pPr>
        <w:pStyle w:val="NormalWeb"/>
        <w:rPr>
          <w:rFonts w:asciiTheme="majorHAnsi" w:hAnsiTheme="majorHAnsi"/>
          <w:lang w:val="en-US"/>
        </w:rPr>
      </w:pPr>
      <w:r w:rsidRPr="006461A4">
        <w:rPr>
          <w:rFonts w:asciiTheme="majorHAnsi" w:hAnsiTheme="majorHAnsi"/>
          <w:lang w:val="en-US"/>
        </w:rPr>
        <w:t xml:space="preserve">The above applies correspondingly to mutual insurance associations, cooperatives, shipping companies, limited partnerships, open limited partnerships, general partnerships, silent partnerships, mutual funds, or foreign entities comparable to these legal forms, as well as to other legal entities comparable to a </w:t>
      </w:r>
      <w:r w:rsidR="0004144F">
        <w:rPr>
          <w:rFonts w:asciiTheme="majorHAnsi" w:hAnsiTheme="majorHAnsi"/>
          <w:lang w:val="en-US"/>
        </w:rPr>
        <w:t>partnership</w:t>
      </w:r>
      <w:r w:rsidRPr="006461A4">
        <w:rPr>
          <w:rFonts w:asciiTheme="majorHAnsi" w:hAnsiTheme="majorHAnsi"/>
          <w:lang w:val="en-US"/>
        </w:rPr>
        <w:t>.</w:t>
      </w:r>
    </w:p>
    <w:p w14:paraId="4CA9B211" w14:textId="77777777" w:rsidR="006461A4" w:rsidRDefault="006461A4">
      <w:pPr>
        <w:rPr>
          <w:rFonts w:asciiTheme="majorHAnsi" w:hAnsiTheme="majorHAnsi" w:cs="Times New Roman"/>
          <w:b/>
          <w:bCs/>
          <w:color w:val="000000"/>
          <w:kern w:val="0"/>
          <w:sz w:val="24"/>
          <w:szCs w:val="24"/>
          <w:lang w:val="en-US"/>
        </w:rPr>
      </w:pPr>
      <w:r>
        <w:rPr>
          <w:rFonts w:asciiTheme="majorHAnsi" w:hAnsiTheme="majorHAnsi" w:cs="Times New Roman"/>
          <w:b/>
          <w:bCs/>
          <w:lang w:val="en-US"/>
        </w:rPr>
        <w:br w:type="page"/>
      </w:r>
    </w:p>
    <w:p w14:paraId="006D5B42" w14:textId="77777777" w:rsidR="006461A4" w:rsidRDefault="008D5859" w:rsidP="008D5859">
      <w:pPr>
        <w:pStyle w:val="Default"/>
        <w:rPr>
          <w:rFonts w:asciiTheme="majorHAnsi" w:hAnsiTheme="majorHAnsi" w:cs="Times New Roman"/>
          <w:b/>
          <w:bCs/>
          <w:lang w:val="en-US"/>
        </w:rPr>
      </w:pPr>
      <w:r w:rsidRPr="006461A4">
        <w:rPr>
          <w:rFonts w:asciiTheme="majorHAnsi" w:hAnsiTheme="majorHAnsi" w:cs="Times New Roman"/>
          <w:b/>
          <w:bCs/>
          <w:lang w:val="en-US"/>
        </w:rPr>
        <w:lastRenderedPageBreak/>
        <w:t xml:space="preserve">Associations: </w:t>
      </w:r>
    </w:p>
    <w:p w14:paraId="44555B7A" w14:textId="77777777" w:rsid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a. Persons who hold 25% or more of the votes or control the association. </w:t>
      </w:r>
    </w:p>
    <w:p w14:paraId="24CA01C2" w14:textId="77777777" w:rsid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b. If not applicable or unclear, the senior managing officials or board members. This also applies to other legal entities comparable to associations or foreign entities of similar structure. </w:t>
      </w:r>
    </w:p>
    <w:p w14:paraId="29DF5FFD" w14:textId="19A33236"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Homeowners’ associations (VVE) must also register. </w:t>
      </w:r>
    </w:p>
    <w:p w14:paraId="5A042C5F" w14:textId="77777777" w:rsidR="008D5859" w:rsidRPr="006461A4" w:rsidRDefault="008D5859" w:rsidP="008D5859">
      <w:pPr>
        <w:pStyle w:val="Default"/>
        <w:rPr>
          <w:rFonts w:asciiTheme="majorHAnsi" w:hAnsiTheme="majorHAnsi" w:cs="Times New Roman"/>
          <w:b/>
          <w:bCs/>
          <w:lang w:val="en-US"/>
        </w:rPr>
      </w:pPr>
    </w:p>
    <w:p w14:paraId="73BC9C3D" w14:textId="77777777" w:rsidR="006461A4" w:rsidRDefault="008D5859" w:rsidP="006461A4">
      <w:pPr>
        <w:pStyle w:val="Default"/>
        <w:rPr>
          <w:rFonts w:asciiTheme="majorHAnsi" w:hAnsiTheme="majorHAnsi" w:cs="Times New Roman"/>
          <w:b/>
          <w:bCs/>
          <w:lang w:val="en-US"/>
        </w:rPr>
      </w:pPr>
      <w:r w:rsidRPr="006461A4">
        <w:rPr>
          <w:rFonts w:asciiTheme="majorHAnsi" w:hAnsiTheme="majorHAnsi" w:cs="Times New Roman"/>
          <w:b/>
          <w:bCs/>
          <w:lang w:val="en-US"/>
        </w:rPr>
        <w:t xml:space="preserve">Foundations: </w:t>
      </w:r>
    </w:p>
    <w:p w14:paraId="3A05FC78" w14:textId="77777777" w:rsidR="006461A4" w:rsidRDefault="008D5859" w:rsidP="006461A4">
      <w:pPr>
        <w:pStyle w:val="Default"/>
        <w:rPr>
          <w:rFonts w:asciiTheme="majorHAnsi" w:hAnsiTheme="majorHAnsi" w:cs="Times New Roman"/>
          <w:lang w:val="en-US"/>
        </w:rPr>
      </w:pPr>
      <w:r w:rsidRPr="006461A4">
        <w:rPr>
          <w:rFonts w:asciiTheme="majorHAnsi" w:hAnsiTheme="majorHAnsi" w:cs="Times New Roman"/>
          <w:lang w:val="en-US"/>
        </w:rPr>
        <w:t xml:space="preserve">a. The </w:t>
      </w:r>
      <w:proofErr w:type="gramStart"/>
      <w:r w:rsidRPr="006461A4">
        <w:rPr>
          <w:rFonts w:asciiTheme="majorHAnsi" w:hAnsiTheme="majorHAnsi" w:cs="Times New Roman"/>
          <w:lang w:val="en-US"/>
        </w:rPr>
        <w:t>founders;</w:t>
      </w:r>
      <w:proofErr w:type="gramEnd"/>
      <w:r w:rsidRPr="006461A4">
        <w:rPr>
          <w:rFonts w:asciiTheme="majorHAnsi" w:hAnsiTheme="majorHAnsi" w:cs="Times New Roman"/>
          <w:lang w:val="en-US"/>
        </w:rPr>
        <w:t xml:space="preserve"> </w:t>
      </w:r>
    </w:p>
    <w:p w14:paraId="05B95BFE" w14:textId="77777777" w:rsidR="006461A4" w:rsidRDefault="008D5859" w:rsidP="006461A4">
      <w:pPr>
        <w:pStyle w:val="Default"/>
        <w:rPr>
          <w:rFonts w:asciiTheme="majorHAnsi" w:hAnsiTheme="majorHAnsi" w:cs="Times New Roman"/>
          <w:lang w:val="en-US"/>
        </w:rPr>
      </w:pPr>
      <w:r w:rsidRPr="006461A4">
        <w:rPr>
          <w:rFonts w:asciiTheme="majorHAnsi" w:hAnsiTheme="majorHAnsi" w:cs="Times New Roman"/>
          <w:lang w:val="en-US"/>
        </w:rPr>
        <w:t xml:space="preserve">b. The </w:t>
      </w:r>
      <w:proofErr w:type="gramStart"/>
      <w:r w:rsidRPr="006461A4">
        <w:rPr>
          <w:rFonts w:asciiTheme="majorHAnsi" w:hAnsiTheme="majorHAnsi" w:cs="Times New Roman"/>
          <w:lang w:val="en-US"/>
        </w:rPr>
        <w:t>directors;</w:t>
      </w:r>
      <w:proofErr w:type="gramEnd"/>
      <w:r w:rsidRPr="006461A4">
        <w:rPr>
          <w:rFonts w:asciiTheme="majorHAnsi" w:hAnsiTheme="majorHAnsi" w:cs="Times New Roman"/>
          <w:lang w:val="en-US"/>
        </w:rPr>
        <w:t xml:space="preserve"> </w:t>
      </w:r>
    </w:p>
    <w:p w14:paraId="41F33988" w14:textId="77777777" w:rsidR="006461A4" w:rsidRDefault="008D5859" w:rsidP="006461A4">
      <w:pPr>
        <w:pStyle w:val="Default"/>
        <w:rPr>
          <w:rFonts w:asciiTheme="majorHAnsi" w:hAnsiTheme="majorHAnsi" w:cs="Times New Roman"/>
          <w:lang w:val="en-US"/>
        </w:rPr>
      </w:pPr>
      <w:r w:rsidRPr="006461A4">
        <w:rPr>
          <w:rFonts w:asciiTheme="majorHAnsi" w:hAnsiTheme="majorHAnsi" w:cs="Times New Roman"/>
          <w:lang w:val="en-US"/>
        </w:rPr>
        <w:t xml:space="preserve">c. The beneficiaries or group of individuals for whom the foundation is </w:t>
      </w:r>
      <w:proofErr w:type="gramStart"/>
      <w:r w:rsidRPr="006461A4">
        <w:rPr>
          <w:rFonts w:asciiTheme="majorHAnsi" w:hAnsiTheme="majorHAnsi" w:cs="Times New Roman"/>
          <w:lang w:val="en-US"/>
        </w:rPr>
        <w:t>established;</w:t>
      </w:r>
      <w:proofErr w:type="gramEnd"/>
      <w:r w:rsidRPr="006461A4">
        <w:rPr>
          <w:rFonts w:asciiTheme="majorHAnsi" w:hAnsiTheme="majorHAnsi" w:cs="Times New Roman"/>
          <w:lang w:val="en-US"/>
        </w:rPr>
        <w:t xml:space="preserve"> </w:t>
      </w:r>
    </w:p>
    <w:p w14:paraId="3044C318" w14:textId="330AD752" w:rsidR="008D5859" w:rsidRPr="006461A4" w:rsidRDefault="008D5859" w:rsidP="006461A4">
      <w:pPr>
        <w:pStyle w:val="Default"/>
        <w:rPr>
          <w:rFonts w:asciiTheme="majorHAnsi" w:hAnsiTheme="majorHAnsi" w:cs="Times New Roman"/>
          <w:lang w:val="en-US"/>
        </w:rPr>
      </w:pPr>
      <w:r w:rsidRPr="006461A4">
        <w:rPr>
          <w:rFonts w:asciiTheme="majorHAnsi" w:hAnsiTheme="majorHAnsi" w:cs="Times New Roman"/>
          <w:lang w:val="en-US"/>
        </w:rPr>
        <w:t xml:space="preserve">d. Persons who ultimately control the foundation. This applies equally to private foundations, religious organizations, similar entities, and comparable foreign legal entities. All UBOs must be registered (founders, directors, beneficiaries, and those holding 25% or more control). </w:t>
      </w:r>
    </w:p>
    <w:p w14:paraId="5F87A57A" w14:textId="77777777" w:rsidR="008D5859" w:rsidRPr="006461A4" w:rsidRDefault="008D5859" w:rsidP="008D5859">
      <w:pPr>
        <w:pStyle w:val="Default"/>
        <w:rPr>
          <w:rFonts w:asciiTheme="majorHAnsi" w:hAnsiTheme="majorHAnsi" w:cs="Times New Roman"/>
          <w:b/>
          <w:bCs/>
          <w:lang w:val="en-US"/>
        </w:rPr>
      </w:pPr>
    </w:p>
    <w:p w14:paraId="477875B8" w14:textId="77777777" w:rsidR="006461A4" w:rsidRDefault="008D5859" w:rsidP="008D5859">
      <w:pPr>
        <w:pStyle w:val="Default"/>
        <w:rPr>
          <w:rFonts w:asciiTheme="majorHAnsi" w:hAnsiTheme="majorHAnsi" w:cs="Times New Roman"/>
          <w:b/>
          <w:bCs/>
          <w:lang w:val="en-US"/>
        </w:rPr>
      </w:pPr>
      <w:r w:rsidRPr="006461A4">
        <w:rPr>
          <w:rFonts w:asciiTheme="majorHAnsi" w:hAnsiTheme="majorHAnsi" w:cs="Times New Roman"/>
          <w:b/>
          <w:bCs/>
          <w:lang w:val="en-US"/>
        </w:rPr>
        <w:t xml:space="preserve">Trusts: </w:t>
      </w:r>
    </w:p>
    <w:p w14:paraId="5004020C" w14:textId="77777777" w:rsid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a. The </w:t>
      </w:r>
      <w:proofErr w:type="gramStart"/>
      <w:r w:rsidRPr="006461A4">
        <w:rPr>
          <w:rFonts w:asciiTheme="majorHAnsi" w:hAnsiTheme="majorHAnsi" w:cs="Times New Roman"/>
          <w:lang w:val="en-US"/>
        </w:rPr>
        <w:t>settlors;</w:t>
      </w:r>
      <w:proofErr w:type="gramEnd"/>
      <w:r w:rsidRPr="006461A4">
        <w:rPr>
          <w:rFonts w:asciiTheme="majorHAnsi" w:hAnsiTheme="majorHAnsi" w:cs="Times New Roman"/>
          <w:lang w:val="en-US"/>
        </w:rPr>
        <w:t xml:space="preserve"> </w:t>
      </w:r>
    </w:p>
    <w:p w14:paraId="639BCB55" w14:textId="77777777" w:rsid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b. The </w:t>
      </w:r>
      <w:proofErr w:type="gramStart"/>
      <w:r w:rsidRPr="006461A4">
        <w:rPr>
          <w:rFonts w:asciiTheme="majorHAnsi" w:hAnsiTheme="majorHAnsi" w:cs="Times New Roman"/>
          <w:lang w:val="en-US"/>
        </w:rPr>
        <w:t>trustees;</w:t>
      </w:r>
      <w:proofErr w:type="gramEnd"/>
      <w:r w:rsidRPr="006461A4">
        <w:rPr>
          <w:rFonts w:asciiTheme="majorHAnsi" w:hAnsiTheme="majorHAnsi" w:cs="Times New Roman"/>
          <w:lang w:val="en-US"/>
        </w:rPr>
        <w:t xml:space="preserve"> </w:t>
      </w:r>
    </w:p>
    <w:p w14:paraId="747545A0" w14:textId="77777777" w:rsid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c. The protectors (if applicable</w:t>
      </w:r>
      <w:proofErr w:type="gramStart"/>
      <w:r w:rsidRPr="006461A4">
        <w:rPr>
          <w:rFonts w:asciiTheme="majorHAnsi" w:hAnsiTheme="majorHAnsi" w:cs="Times New Roman"/>
          <w:lang w:val="en-US"/>
        </w:rPr>
        <w:t>);</w:t>
      </w:r>
      <w:proofErr w:type="gramEnd"/>
      <w:r w:rsidRPr="006461A4">
        <w:rPr>
          <w:rFonts w:asciiTheme="majorHAnsi" w:hAnsiTheme="majorHAnsi" w:cs="Times New Roman"/>
          <w:lang w:val="en-US"/>
        </w:rPr>
        <w:t xml:space="preserve"> </w:t>
      </w:r>
    </w:p>
    <w:p w14:paraId="58FD4BA8" w14:textId="6AD47ABB"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d. The beneficiaries or the group of persons in whose interest the trust is </w:t>
      </w:r>
      <w:proofErr w:type="gramStart"/>
      <w:r w:rsidRPr="006461A4">
        <w:rPr>
          <w:rFonts w:asciiTheme="majorHAnsi" w:hAnsiTheme="majorHAnsi" w:cs="Times New Roman"/>
          <w:lang w:val="en-US"/>
        </w:rPr>
        <w:t>established;</w:t>
      </w:r>
      <w:proofErr w:type="gramEnd"/>
      <w:r w:rsidRPr="006461A4">
        <w:rPr>
          <w:rFonts w:asciiTheme="majorHAnsi" w:hAnsiTheme="majorHAnsi" w:cs="Times New Roman"/>
          <w:lang w:val="en-US"/>
        </w:rPr>
        <w:t xml:space="preserve"> e. Persons with ultimate control over the trust. This also applies to similar legal constructions and comparable foreign structures. All relevant UBOs must be registered (</w:t>
      </w:r>
      <w:proofErr w:type="gramStart"/>
      <w:r w:rsidRPr="006461A4">
        <w:rPr>
          <w:rFonts w:asciiTheme="majorHAnsi" w:hAnsiTheme="majorHAnsi" w:cs="Times New Roman"/>
          <w:lang w:val="en-US"/>
        </w:rPr>
        <w:t>settlors</w:t>
      </w:r>
      <w:proofErr w:type="gramEnd"/>
      <w:r w:rsidRPr="006461A4">
        <w:rPr>
          <w:rFonts w:asciiTheme="majorHAnsi" w:hAnsiTheme="majorHAnsi" w:cs="Times New Roman"/>
          <w:lang w:val="en-US"/>
        </w:rPr>
        <w:t xml:space="preserve">, trustees, beneficiaries, and those with control). </w:t>
      </w:r>
    </w:p>
    <w:p w14:paraId="5ACD635E" w14:textId="77777777" w:rsidR="008D5859" w:rsidRPr="006461A4" w:rsidRDefault="008D5859" w:rsidP="008D5859">
      <w:pPr>
        <w:pStyle w:val="Default"/>
        <w:rPr>
          <w:rFonts w:asciiTheme="majorHAnsi" w:hAnsiTheme="majorHAnsi" w:cs="Times New Roman"/>
          <w:b/>
          <w:bCs/>
          <w:lang w:val="en-US"/>
        </w:rPr>
      </w:pPr>
    </w:p>
    <w:p w14:paraId="084C4101" w14:textId="71E434E0"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t xml:space="preserve">Authorized Person </w:t>
      </w:r>
    </w:p>
    <w:p w14:paraId="70667616"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The Secretary will verify whether the filing is submitted by an authorized person by referring to the entity's registration in the Commercial Register. If the filing is not made by the board, a written power of attorney must be submitted. </w:t>
      </w:r>
    </w:p>
    <w:p w14:paraId="41899EA5" w14:textId="77777777" w:rsidR="008D5859" w:rsidRPr="006461A4" w:rsidRDefault="008D5859" w:rsidP="008D5859">
      <w:pPr>
        <w:pStyle w:val="Default"/>
        <w:rPr>
          <w:rFonts w:asciiTheme="majorHAnsi" w:hAnsiTheme="majorHAnsi" w:cs="Times New Roman"/>
          <w:b/>
          <w:bCs/>
          <w:lang w:val="en-US"/>
        </w:rPr>
      </w:pPr>
    </w:p>
    <w:p w14:paraId="25CD2913" w14:textId="1469FFDE"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t xml:space="preserve">Refusal of UBO Registration </w:t>
      </w:r>
    </w:p>
    <w:p w14:paraId="4AAD73C7"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If the Secretary determines the filing was made by an authorized person, the UBO data will be registered. If the Secretary finds the registration incorrect, the board or submitter will be advised to amend or withdraw it. The registration will then be returned to the board with guidance. Incomplete or incorrect filings will be reported to the competent authorities. </w:t>
      </w:r>
    </w:p>
    <w:p w14:paraId="7E3369DB" w14:textId="77777777" w:rsidR="008D5859" w:rsidRPr="006461A4" w:rsidRDefault="008D5859" w:rsidP="008D5859">
      <w:pPr>
        <w:pStyle w:val="Default"/>
        <w:rPr>
          <w:rFonts w:asciiTheme="majorHAnsi" w:hAnsiTheme="majorHAnsi" w:cs="Times New Roman"/>
          <w:b/>
          <w:bCs/>
          <w:lang w:val="en-US"/>
        </w:rPr>
      </w:pPr>
    </w:p>
    <w:p w14:paraId="7B3F63C5" w14:textId="57980638"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t xml:space="preserve">Competent Authorities </w:t>
      </w:r>
    </w:p>
    <w:p w14:paraId="49E36B89"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Only the following authorities may access the UBO register: </w:t>
      </w:r>
    </w:p>
    <w:p w14:paraId="34A1410F" w14:textId="77777777" w:rsidR="008D5859" w:rsidRPr="006461A4" w:rsidRDefault="008D5859" w:rsidP="008D5859">
      <w:pPr>
        <w:pStyle w:val="Default"/>
        <w:numPr>
          <w:ilvl w:val="0"/>
          <w:numId w:val="3"/>
        </w:numPr>
        <w:spacing w:after="27"/>
        <w:rPr>
          <w:rFonts w:asciiTheme="majorHAnsi" w:hAnsiTheme="majorHAnsi"/>
        </w:rPr>
      </w:pPr>
      <w:r w:rsidRPr="006461A4">
        <w:rPr>
          <w:rFonts w:asciiTheme="majorHAnsi" w:hAnsiTheme="majorHAnsi"/>
        </w:rPr>
        <w:t xml:space="preserve">Public </w:t>
      </w:r>
      <w:proofErr w:type="spellStart"/>
      <w:r w:rsidRPr="006461A4">
        <w:rPr>
          <w:rFonts w:asciiTheme="majorHAnsi" w:hAnsiTheme="majorHAnsi"/>
        </w:rPr>
        <w:t>Prosecutor's</w:t>
      </w:r>
      <w:proofErr w:type="spellEnd"/>
      <w:r w:rsidRPr="006461A4">
        <w:rPr>
          <w:rFonts w:asciiTheme="majorHAnsi" w:hAnsiTheme="majorHAnsi"/>
        </w:rPr>
        <w:t xml:space="preserve"> Office </w:t>
      </w:r>
    </w:p>
    <w:p w14:paraId="2949B192" w14:textId="77777777" w:rsidR="008D5859" w:rsidRPr="006461A4" w:rsidRDefault="008D5859" w:rsidP="008D5859">
      <w:pPr>
        <w:pStyle w:val="Default"/>
        <w:numPr>
          <w:ilvl w:val="0"/>
          <w:numId w:val="3"/>
        </w:numPr>
        <w:spacing w:after="27"/>
        <w:rPr>
          <w:rFonts w:asciiTheme="majorHAnsi" w:hAnsiTheme="majorHAnsi" w:cs="Times New Roman"/>
          <w:lang w:val="en-US"/>
        </w:rPr>
      </w:pPr>
      <w:r w:rsidRPr="006461A4">
        <w:rPr>
          <w:rFonts w:asciiTheme="majorHAnsi" w:hAnsiTheme="majorHAnsi" w:cs="Times New Roman"/>
          <w:lang w:val="en-US"/>
        </w:rPr>
        <w:t xml:space="preserve">Central Bank of Curaçao and Sint Maarten </w:t>
      </w:r>
    </w:p>
    <w:p w14:paraId="0B2DEEB5" w14:textId="77777777" w:rsidR="008D5859" w:rsidRPr="006461A4" w:rsidRDefault="008D5859" w:rsidP="008D5859">
      <w:pPr>
        <w:pStyle w:val="Default"/>
        <w:numPr>
          <w:ilvl w:val="0"/>
          <w:numId w:val="3"/>
        </w:numPr>
        <w:spacing w:after="27"/>
        <w:rPr>
          <w:rFonts w:asciiTheme="majorHAnsi" w:hAnsiTheme="majorHAnsi" w:cs="Times New Roman"/>
          <w:lang w:val="en-US"/>
        </w:rPr>
      </w:pPr>
      <w:r w:rsidRPr="006461A4">
        <w:rPr>
          <w:rFonts w:asciiTheme="majorHAnsi" w:hAnsiTheme="majorHAnsi" w:cs="Times New Roman"/>
          <w:lang w:val="en-US"/>
        </w:rPr>
        <w:t xml:space="preserve">Financial Intelligence Unit Curaçao (analysis and supervision departments) </w:t>
      </w:r>
    </w:p>
    <w:p w14:paraId="7C2B3FDC" w14:textId="77777777" w:rsidR="008D5859" w:rsidRPr="006461A4" w:rsidRDefault="008D5859" w:rsidP="008D5859">
      <w:pPr>
        <w:pStyle w:val="Default"/>
        <w:numPr>
          <w:ilvl w:val="0"/>
          <w:numId w:val="3"/>
        </w:numPr>
        <w:spacing w:after="27"/>
        <w:rPr>
          <w:rFonts w:asciiTheme="majorHAnsi" w:hAnsiTheme="majorHAnsi"/>
        </w:rPr>
      </w:pPr>
      <w:r w:rsidRPr="006461A4">
        <w:rPr>
          <w:rFonts w:asciiTheme="majorHAnsi" w:hAnsiTheme="majorHAnsi"/>
        </w:rPr>
        <w:t xml:space="preserve">Gaming Control Board </w:t>
      </w:r>
    </w:p>
    <w:p w14:paraId="223DDE46" w14:textId="77777777" w:rsidR="008D5859" w:rsidRPr="006461A4" w:rsidRDefault="008D5859" w:rsidP="008D5859">
      <w:pPr>
        <w:pStyle w:val="Default"/>
        <w:numPr>
          <w:ilvl w:val="0"/>
          <w:numId w:val="3"/>
        </w:numPr>
        <w:rPr>
          <w:rFonts w:asciiTheme="majorHAnsi" w:hAnsiTheme="majorHAnsi"/>
        </w:rPr>
      </w:pPr>
      <w:r w:rsidRPr="006461A4">
        <w:rPr>
          <w:rFonts w:asciiTheme="majorHAnsi" w:hAnsiTheme="majorHAnsi"/>
        </w:rPr>
        <w:t xml:space="preserve">Tax </w:t>
      </w:r>
      <w:proofErr w:type="spellStart"/>
      <w:r w:rsidRPr="006461A4">
        <w:rPr>
          <w:rFonts w:asciiTheme="majorHAnsi" w:hAnsiTheme="majorHAnsi"/>
        </w:rPr>
        <w:t>Inspector</w:t>
      </w:r>
      <w:proofErr w:type="spellEnd"/>
      <w:r w:rsidRPr="006461A4">
        <w:rPr>
          <w:rFonts w:asciiTheme="majorHAnsi" w:hAnsiTheme="majorHAnsi"/>
        </w:rPr>
        <w:t xml:space="preserve"> </w:t>
      </w:r>
    </w:p>
    <w:p w14:paraId="3A84E6F1" w14:textId="77777777" w:rsidR="008D5859" w:rsidRPr="006461A4" w:rsidRDefault="008D5859" w:rsidP="008D5859">
      <w:pPr>
        <w:pStyle w:val="Default"/>
        <w:rPr>
          <w:rFonts w:asciiTheme="majorHAnsi" w:hAnsiTheme="majorHAnsi"/>
        </w:rPr>
      </w:pPr>
    </w:p>
    <w:p w14:paraId="179C7848"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Access is limited to situations in which these bodies act within their legal authority. Any person may request confirmation of whether their personal data is (or was within the last ten years) registered in the UBO register. The Chamber will confirm or deny this to the individual. </w:t>
      </w:r>
    </w:p>
    <w:p w14:paraId="2A9D5E3E" w14:textId="77777777" w:rsidR="008D5859" w:rsidRPr="006461A4" w:rsidRDefault="008D5859" w:rsidP="008D5859">
      <w:pPr>
        <w:pStyle w:val="Default"/>
        <w:rPr>
          <w:rFonts w:asciiTheme="majorHAnsi" w:hAnsiTheme="majorHAnsi" w:cs="Times New Roman"/>
          <w:b/>
          <w:bCs/>
          <w:lang w:val="en-US"/>
        </w:rPr>
      </w:pPr>
    </w:p>
    <w:p w14:paraId="73356C6F" w14:textId="77777777" w:rsidR="006461A4" w:rsidRDefault="006461A4">
      <w:pPr>
        <w:rPr>
          <w:rFonts w:asciiTheme="majorHAnsi" w:hAnsiTheme="majorHAnsi" w:cs="Times New Roman"/>
          <w:b/>
          <w:bCs/>
          <w:color w:val="000000"/>
          <w:kern w:val="0"/>
          <w:sz w:val="24"/>
          <w:szCs w:val="24"/>
          <w:lang w:val="en-US"/>
        </w:rPr>
      </w:pPr>
      <w:r>
        <w:rPr>
          <w:rFonts w:asciiTheme="majorHAnsi" w:hAnsiTheme="majorHAnsi" w:cs="Times New Roman"/>
          <w:b/>
          <w:bCs/>
          <w:lang w:val="en-US"/>
        </w:rPr>
        <w:br w:type="page"/>
      </w:r>
    </w:p>
    <w:p w14:paraId="68BF15A1" w14:textId="51FD0854"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lastRenderedPageBreak/>
        <w:t xml:space="preserve">UBO Data Registration </w:t>
      </w:r>
    </w:p>
    <w:p w14:paraId="05ADB987" w14:textId="58737A7C"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For each entity and UBO (always natural person</w:t>
      </w:r>
      <w:r w:rsidR="00921700">
        <w:rPr>
          <w:rFonts w:asciiTheme="majorHAnsi" w:hAnsiTheme="majorHAnsi" w:cs="Times New Roman"/>
          <w:lang w:val="en-US"/>
        </w:rPr>
        <w:t>(</w:t>
      </w:r>
      <w:r w:rsidRPr="006461A4">
        <w:rPr>
          <w:rFonts w:asciiTheme="majorHAnsi" w:hAnsiTheme="majorHAnsi" w:cs="Times New Roman"/>
          <w:lang w:val="en-US"/>
        </w:rPr>
        <w:t>s</w:t>
      </w:r>
      <w:r w:rsidR="00921700">
        <w:rPr>
          <w:rFonts w:asciiTheme="majorHAnsi" w:hAnsiTheme="majorHAnsi" w:cs="Times New Roman"/>
          <w:lang w:val="en-US"/>
        </w:rPr>
        <w:t>)</w:t>
      </w:r>
      <w:r w:rsidRPr="006461A4">
        <w:rPr>
          <w:rFonts w:asciiTheme="majorHAnsi" w:hAnsiTheme="majorHAnsi" w:cs="Times New Roman"/>
          <w:lang w:val="en-US"/>
        </w:rPr>
        <w:t xml:space="preserve">), the following must be provided: </w:t>
      </w:r>
    </w:p>
    <w:p w14:paraId="74B32311" w14:textId="77777777" w:rsidR="008D5859" w:rsidRPr="006461A4" w:rsidRDefault="008D5859" w:rsidP="008D5859">
      <w:pPr>
        <w:pStyle w:val="Default"/>
        <w:rPr>
          <w:rFonts w:asciiTheme="majorHAnsi" w:hAnsiTheme="majorHAnsi" w:cs="Times New Roman"/>
        </w:rPr>
      </w:pPr>
      <w:r w:rsidRPr="006461A4">
        <w:rPr>
          <w:rFonts w:asciiTheme="majorHAnsi" w:hAnsiTheme="majorHAnsi" w:cs="Times New Roman"/>
          <w:b/>
          <w:bCs/>
        </w:rPr>
        <w:t xml:space="preserve">For </w:t>
      </w:r>
      <w:proofErr w:type="spellStart"/>
      <w:r w:rsidRPr="006461A4">
        <w:rPr>
          <w:rFonts w:asciiTheme="majorHAnsi" w:hAnsiTheme="majorHAnsi" w:cs="Times New Roman"/>
          <w:b/>
          <w:bCs/>
        </w:rPr>
        <w:t>the</w:t>
      </w:r>
      <w:proofErr w:type="spellEnd"/>
      <w:r w:rsidRPr="006461A4">
        <w:rPr>
          <w:rFonts w:asciiTheme="majorHAnsi" w:hAnsiTheme="majorHAnsi" w:cs="Times New Roman"/>
          <w:b/>
          <w:bCs/>
        </w:rPr>
        <w:t xml:space="preserve"> </w:t>
      </w:r>
      <w:proofErr w:type="spellStart"/>
      <w:r w:rsidRPr="006461A4">
        <w:rPr>
          <w:rFonts w:asciiTheme="majorHAnsi" w:hAnsiTheme="majorHAnsi" w:cs="Times New Roman"/>
          <w:b/>
          <w:bCs/>
        </w:rPr>
        <w:t>entity</w:t>
      </w:r>
      <w:proofErr w:type="spellEnd"/>
      <w:r w:rsidRPr="006461A4">
        <w:rPr>
          <w:rFonts w:asciiTheme="majorHAnsi" w:hAnsiTheme="majorHAnsi" w:cs="Times New Roman"/>
          <w:b/>
          <w:bCs/>
        </w:rPr>
        <w:t xml:space="preserve">: </w:t>
      </w:r>
    </w:p>
    <w:p w14:paraId="175537C4" w14:textId="77777777" w:rsidR="008D5859" w:rsidRPr="006461A4" w:rsidRDefault="008D5859" w:rsidP="008D5859">
      <w:pPr>
        <w:pStyle w:val="Default"/>
        <w:numPr>
          <w:ilvl w:val="0"/>
          <w:numId w:val="4"/>
        </w:numPr>
        <w:spacing w:after="27"/>
        <w:rPr>
          <w:rFonts w:asciiTheme="majorHAnsi" w:hAnsiTheme="majorHAnsi"/>
        </w:rPr>
      </w:pPr>
      <w:r w:rsidRPr="006461A4">
        <w:rPr>
          <w:rFonts w:asciiTheme="majorHAnsi" w:hAnsiTheme="majorHAnsi"/>
        </w:rPr>
        <w:t xml:space="preserve">Name of </w:t>
      </w:r>
      <w:proofErr w:type="spellStart"/>
      <w:r w:rsidRPr="006461A4">
        <w:rPr>
          <w:rFonts w:asciiTheme="majorHAnsi" w:hAnsiTheme="majorHAnsi"/>
        </w:rPr>
        <w:t>the</w:t>
      </w:r>
      <w:proofErr w:type="spellEnd"/>
      <w:r w:rsidRPr="006461A4">
        <w:rPr>
          <w:rFonts w:asciiTheme="majorHAnsi" w:hAnsiTheme="majorHAnsi"/>
        </w:rPr>
        <w:t xml:space="preserve"> </w:t>
      </w:r>
      <w:proofErr w:type="spellStart"/>
      <w:r w:rsidRPr="006461A4">
        <w:rPr>
          <w:rFonts w:asciiTheme="majorHAnsi" w:hAnsiTheme="majorHAnsi"/>
        </w:rPr>
        <w:t>entity</w:t>
      </w:r>
      <w:proofErr w:type="spellEnd"/>
      <w:r w:rsidRPr="006461A4">
        <w:rPr>
          <w:rFonts w:asciiTheme="majorHAnsi" w:hAnsiTheme="majorHAnsi"/>
        </w:rPr>
        <w:t xml:space="preserve"> </w:t>
      </w:r>
    </w:p>
    <w:p w14:paraId="3B4925F5" w14:textId="77777777" w:rsidR="008D5859" w:rsidRPr="006461A4" w:rsidRDefault="008D5859" w:rsidP="008D5859">
      <w:pPr>
        <w:pStyle w:val="Default"/>
        <w:numPr>
          <w:ilvl w:val="0"/>
          <w:numId w:val="4"/>
        </w:numPr>
        <w:rPr>
          <w:rFonts w:asciiTheme="majorHAnsi" w:hAnsiTheme="majorHAnsi"/>
        </w:rPr>
      </w:pPr>
      <w:r w:rsidRPr="006461A4">
        <w:rPr>
          <w:rFonts w:asciiTheme="majorHAnsi" w:hAnsiTheme="majorHAnsi"/>
        </w:rPr>
        <w:t xml:space="preserve">CRIB </w:t>
      </w:r>
      <w:proofErr w:type="spellStart"/>
      <w:r w:rsidRPr="006461A4">
        <w:rPr>
          <w:rFonts w:asciiTheme="majorHAnsi" w:hAnsiTheme="majorHAnsi"/>
        </w:rPr>
        <w:t>number</w:t>
      </w:r>
      <w:proofErr w:type="spellEnd"/>
      <w:r w:rsidRPr="006461A4">
        <w:rPr>
          <w:rFonts w:asciiTheme="majorHAnsi" w:hAnsiTheme="majorHAnsi"/>
        </w:rPr>
        <w:t xml:space="preserve"> </w:t>
      </w:r>
    </w:p>
    <w:p w14:paraId="2C49F1B3" w14:textId="54FC85E0" w:rsidR="008D5859" w:rsidRPr="006461A4" w:rsidRDefault="008D5859" w:rsidP="008D5859">
      <w:pPr>
        <w:pStyle w:val="Default"/>
        <w:numPr>
          <w:ilvl w:val="0"/>
          <w:numId w:val="5"/>
        </w:numPr>
        <w:spacing w:after="27"/>
        <w:rPr>
          <w:rFonts w:asciiTheme="majorHAnsi" w:hAnsiTheme="majorHAnsi"/>
          <w:lang w:val="en-US"/>
        </w:rPr>
      </w:pPr>
      <w:r w:rsidRPr="006461A4">
        <w:rPr>
          <w:rFonts w:asciiTheme="majorHAnsi" w:hAnsiTheme="majorHAnsi"/>
          <w:lang w:val="en-US"/>
        </w:rPr>
        <w:t xml:space="preserve">Chamber of Commerce registration number </w:t>
      </w:r>
    </w:p>
    <w:p w14:paraId="2BCA1DB2" w14:textId="77777777" w:rsidR="008D5859" w:rsidRPr="006461A4" w:rsidRDefault="008D5859" w:rsidP="008D5859">
      <w:pPr>
        <w:pStyle w:val="Default"/>
        <w:numPr>
          <w:ilvl w:val="0"/>
          <w:numId w:val="5"/>
        </w:numPr>
        <w:rPr>
          <w:rFonts w:asciiTheme="majorHAnsi" w:hAnsiTheme="majorHAnsi"/>
        </w:rPr>
      </w:pPr>
      <w:r w:rsidRPr="006461A4">
        <w:rPr>
          <w:rFonts w:asciiTheme="majorHAnsi" w:hAnsiTheme="majorHAnsi"/>
        </w:rPr>
        <w:t xml:space="preserve">Full </w:t>
      </w:r>
      <w:proofErr w:type="spellStart"/>
      <w:r w:rsidRPr="006461A4">
        <w:rPr>
          <w:rFonts w:asciiTheme="majorHAnsi" w:hAnsiTheme="majorHAnsi"/>
        </w:rPr>
        <w:t>address</w:t>
      </w:r>
      <w:proofErr w:type="spellEnd"/>
      <w:r w:rsidRPr="006461A4">
        <w:rPr>
          <w:rFonts w:asciiTheme="majorHAnsi" w:hAnsiTheme="majorHAnsi"/>
        </w:rPr>
        <w:t xml:space="preserve"> </w:t>
      </w:r>
    </w:p>
    <w:p w14:paraId="03E1FBF3" w14:textId="77777777" w:rsidR="008D5859" w:rsidRPr="006461A4" w:rsidRDefault="008D5859" w:rsidP="008D5859">
      <w:pPr>
        <w:pStyle w:val="Default"/>
        <w:rPr>
          <w:rFonts w:asciiTheme="majorHAnsi" w:hAnsiTheme="majorHAnsi"/>
        </w:rPr>
      </w:pPr>
    </w:p>
    <w:p w14:paraId="0F8B5B4B" w14:textId="77777777" w:rsidR="008D5859" w:rsidRPr="006461A4" w:rsidRDefault="008D5859" w:rsidP="008D5859">
      <w:pPr>
        <w:pStyle w:val="Default"/>
        <w:rPr>
          <w:rFonts w:asciiTheme="majorHAnsi" w:hAnsiTheme="majorHAnsi" w:cs="Times New Roman"/>
        </w:rPr>
      </w:pPr>
      <w:r w:rsidRPr="006461A4">
        <w:rPr>
          <w:rFonts w:asciiTheme="majorHAnsi" w:hAnsiTheme="majorHAnsi" w:cs="Times New Roman"/>
          <w:b/>
          <w:bCs/>
        </w:rPr>
        <w:t xml:space="preserve">For </w:t>
      </w:r>
      <w:proofErr w:type="spellStart"/>
      <w:r w:rsidRPr="006461A4">
        <w:rPr>
          <w:rFonts w:asciiTheme="majorHAnsi" w:hAnsiTheme="majorHAnsi" w:cs="Times New Roman"/>
          <w:b/>
          <w:bCs/>
        </w:rPr>
        <w:t>each</w:t>
      </w:r>
      <w:proofErr w:type="spellEnd"/>
      <w:r w:rsidRPr="006461A4">
        <w:rPr>
          <w:rFonts w:asciiTheme="majorHAnsi" w:hAnsiTheme="majorHAnsi" w:cs="Times New Roman"/>
          <w:b/>
          <w:bCs/>
        </w:rPr>
        <w:t xml:space="preserve"> UBO: </w:t>
      </w:r>
    </w:p>
    <w:p w14:paraId="703A00B1" w14:textId="77777777" w:rsidR="008D5859" w:rsidRPr="006461A4" w:rsidRDefault="008D5859" w:rsidP="008D5859">
      <w:pPr>
        <w:pStyle w:val="Default"/>
        <w:numPr>
          <w:ilvl w:val="0"/>
          <w:numId w:val="6"/>
        </w:numPr>
        <w:spacing w:after="27"/>
        <w:rPr>
          <w:rFonts w:asciiTheme="majorHAnsi" w:hAnsiTheme="majorHAnsi" w:cs="Times New Roman"/>
          <w:lang w:val="en-US"/>
        </w:rPr>
      </w:pPr>
      <w:r w:rsidRPr="006461A4">
        <w:rPr>
          <w:rFonts w:asciiTheme="majorHAnsi" w:hAnsiTheme="majorHAnsi" w:cs="Times New Roman"/>
          <w:lang w:val="en-US"/>
        </w:rPr>
        <w:t xml:space="preserve">Name, date of birth, country of birth, and nationality </w:t>
      </w:r>
    </w:p>
    <w:p w14:paraId="7C398C32" w14:textId="77777777" w:rsidR="008D5859" w:rsidRPr="006461A4" w:rsidRDefault="008D5859" w:rsidP="008D5859">
      <w:pPr>
        <w:pStyle w:val="Default"/>
        <w:numPr>
          <w:ilvl w:val="0"/>
          <w:numId w:val="6"/>
        </w:numPr>
        <w:spacing w:after="27"/>
        <w:rPr>
          <w:rFonts w:asciiTheme="majorHAnsi" w:hAnsiTheme="majorHAnsi"/>
        </w:rPr>
      </w:pPr>
      <w:proofErr w:type="spellStart"/>
      <w:r w:rsidRPr="006461A4">
        <w:rPr>
          <w:rFonts w:asciiTheme="majorHAnsi" w:hAnsiTheme="majorHAnsi"/>
        </w:rPr>
        <w:t>Residential</w:t>
      </w:r>
      <w:proofErr w:type="spellEnd"/>
      <w:r w:rsidRPr="006461A4">
        <w:rPr>
          <w:rFonts w:asciiTheme="majorHAnsi" w:hAnsiTheme="majorHAnsi"/>
        </w:rPr>
        <w:t xml:space="preserve"> </w:t>
      </w:r>
      <w:proofErr w:type="spellStart"/>
      <w:r w:rsidRPr="006461A4">
        <w:rPr>
          <w:rFonts w:asciiTheme="majorHAnsi" w:hAnsiTheme="majorHAnsi"/>
        </w:rPr>
        <w:t>address</w:t>
      </w:r>
      <w:proofErr w:type="spellEnd"/>
      <w:r w:rsidRPr="006461A4">
        <w:rPr>
          <w:rFonts w:asciiTheme="majorHAnsi" w:hAnsiTheme="majorHAnsi"/>
        </w:rPr>
        <w:t xml:space="preserve"> </w:t>
      </w:r>
      <w:proofErr w:type="spellStart"/>
      <w:r w:rsidRPr="006461A4">
        <w:rPr>
          <w:rFonts w:asciiTheme="majorHAnsi" w:hAnsiTheme="majorHAnsi"/>
        </w:rPr>
        <w:t>and</w:t>
      </w:r>
      <w:proofErr w:type="spellEnd"/>
      <w:r w:rsidRPr="006461A4">
        <w:rPr>
          <w:rFonts w:asciiTheme="majorHAnsi" w:hAnsiTheme="majorHAnsi"/>
        </w:rPr>
        <w:t xml:space="preserve"> country </w:t>
      </w:r>
    </w:p>
    <w:p w14:paraId="46C44AC8" w14:textId="77777777" w:rsidR="008D5859" w:rsidRPr="006461A4" w:rsidRDefault="008D5859" w:rsidP="008D5859">
      <w:pPr>
        <w:pStyle w:val="Default"/>
        <w:numPr>
          <w:ilvl w:val="0"/>
          <w:numId w:val="6"/>
        </w:numPr>
        <w:spacing w:after="27"/>
        <w:rPr>
          <w:rFonts w:asciiTheme="majorHAnsi" w:hAnsiTheme="majorHAnsi"/>
        </w:rPr>
      </w:pPr>
      <w:r w:rsidRPr="006461A4">
        <w:rPr>
          <w:rFonts w:asciiTheme="majorHAnsi" w:hAnsiTheme="majorHAnsi"/>
        </w:rPr>
        <w:t xml:space="preserve">For Curaçao </w:t>
      </w:r>
      <w:proofErr w:type="spellStart"/>
      <w:r w:rsidRPr="006461A4">
        <w:rPr>
          <w:rFonts w:asciiTheme="majorHAnsi" w:hAnsiTheme="majorHAnsi"/>
        </w:rPr>
        <w:t>residents</w:t>
      </w:r>
      <w:proofErr w:type="spellEnd"/>
      <w:r w:rsidRPr="006461A4">
        <w:rPr>
          <w:rFonts w:asciiTheme="majorHAnsi" w:hAnsiTheme="majorHAnsi"/>
        </w:rPr>
        <w:t xml:space="preserve">: CRIB </w:t>
      </w:r>
      <w:proofErr w:type="spellStart"/>
      <w:r w:rsidRPr="006461A4">
        <w:rPr>
          <w:rFonts w:asciiTheme="majorHAnsi" w:hAnsiTheme="majorHAnsi"/>
        </w:rPr>
        <w:t>number</w:t>
      </w:r>
      <w:proofErr w:type="spellEnd"/>
      <w:r w:rsidRPr="006461A4">
        <w:rPr>
          <w:rFonts w:asciiTheme="majorHAnsi" w:hAnsiTheme="majorHAnsi"/>
        </w:rPr>
        <w:t xml:space="preserve"> </w:t>
      </w:r>
    </w:p>
    <w:p w14:paraId="7375B4CB" w14:textId="77777777" w:rsidR="008D5859" w:rsidRPr="006461A4" w:rsidRDefault="008D5859" w:rsidP="008D5859">
      <w:pPr>
        <w:pStyle w:val="Default"/>
        <w:numPr>
          <w:ilvl w:val="0"/>
          <w:numId w:val="6"/>
        </w:numPr>
        <w:spacing w:after="27"/>
        <w:rPr>
          <w:rFonts w:asciiTheme="majorHAnsi" w:hAnsiTheme="majorHAnsi" w:cs="Times New Roman"/>
          <w:lang w:val="en-US"/>
        </w:rPr>
      </w:pPr>
      <w:r w:rsidRPr="006461A4">
        <w:rPr>
          <w:rFonts w:asciiTheme="majorHAnsi" w:hAnsiTheme="majorHAnsi" w:cs="Times New Roman"/>
          <w:lang w:val="en-US"/>
        </w:rPr>
        <w:t xml:space="preserve">For non-residents: Tax ID from the country of residence or a valid legal ID number </w:t>
      </w:r>
    </w:p>
    <w:p w14:paraId="05A5BD4C" w14:textId="77777777" w:rsidR="008D5859" w:rsidRPr="006461A4" w:rsidRDefault="008D5859" w:rsidP="008D5859">
      <w:pPr>
        <w:pStyle w:val="Default"/>
        <w:numPr>
          <w:ilvl w:val="0"/>
          <w:numId w:val="6"/>
        </w:numPr>
        <w:rPr>
          <w:rFonts w:asciiTheme="majorHAnsi" w:hAnsiTheme="majorHAnsi" w:cs="Times New Roman"/>
          <w:lang w:val="en-US"/>
        </w:rPr>
      </w:pPr>
      <w:r w:rsidRPr="006461A4">
        <w:rPr>
          <w:rFonts w:asciiTheme="majorHAnsi" w:hAnsiTheme="majorHAnsi" w:cs="Times New Roman"/>
          <w:lang w:val="en-US"/>
        </w:rPr>
        <w:t xml:space="preserve">Reason the person qualifies as a UBO </w:t>
      </w:r>
    </w:p>
    <w:p w14:paraId="5260FAA2" w14:textId="77777777" w:rsidR="008D5859" w:rsidRPr="006461A4" w:rsidRDefault="008D5859" w:rsidP="008D5859">
      <w:pPr>
        <w:pStyle w:val="Default"/>
        <w:rPr>
          <w:rFonts w:asciiTheme="majorHAnsi" w:hAnsiTheme="majorHAnsi" w:cs="Times New Roman"/>
        </w:rPr>
      </w:pPr>
      <w:proofErr w:type="spellStart"/>
      <w:r w:rsidRPr="006461A4">
        <w:rPr>
          <w:rFonts w:asciiTheme="majorHAnsi" w:hAnsiTheme="majorHAnsi" w:cs="Times New Roman"/>
          <w:b/>
          <w:bCs/>
        </w:rPr>
        <w:t>Documents</w:t>
      </w:r>
      <w:proofErr w:type="spellEnd"/>
      <w:r w:rsidRPr="006461A4">
        <w:rPr>
          <w:rFonts w:asciiTheme="majorHAnsi" w:hAnsiTheme="majorHAnsi" w:cs="Times New Roman"/>
          <w:b/>
          <w:bCs/>
        </w:rPr>
        <w:t xml:space="preserve"> per UBO: </w:t>
      </w:r>
    </w:p>
    <w:p w14:paraId="6D7BF4A3" w14:textId="77777777" w:rsidR="008D5859" w:rsidRPr="006461A4" w:rsidRDefault="008D5859" w:rsidP="008D5859">
      <w:pPr>
        <w:pStyle w:val="Default"/>
        <w:numPr>
          <w:ilvl w:val="0"/>
          <w:numId w:val="7"/>
        </w:numPr>
        <w:spacing w:after="27"/>
        <w:rPr>
          <w:rFonts w:asciiTheme="majorHAnsi" w:hAnsiTheme="majorHAnsi"/>
        </w:rPr>
      </w:pPr>
      <w:r w:rsidRPr="006461A4">
        <w:rPr>
          <w:rFonts w:asciiTheme="majorHAnsi" w:hAnsiTheme="majorHAnsi"/>
        </w:rPr>
        <w:t xml:space="preserve">Copy of </w:t>
      </w:r>
      <w:proofErr w:type="spellStart"/>
      <w:r w:rsidRPr="006461A4">
        <w:rPr>
          <w:rFonts w:asciiTheme="majorHAnsi" w:hAnsiTheme="majorHAnsi"/>
        </w:rPr>
        <w:t>valid</w:t>
      </w:r>
      <w:proofErr w:type="spellEnd"/>
      <w:r w:rsidRPr="006461A4">
        <w:rPr>
          <w:rFonts w:asciiTheme="majorHAnsi" w:hAnsiTheme="majorHAnsi"/>
        </w:rPr>
        <w:t xml:space="preserve"> ID </w:t>
      </w:r>
    </w:p>
    <w:p w14:paraId="4764FE9C" w14:textId="77777777" w:rsidR="008D5859" w:rsidRPr="006461A4" w:rsidRDefault="008D5859" w:rsidP="008D5859">
      <w:pPr>
        <w:pStyle w:val="Default"/>
        <w:numPr>
          <w:ilvl w:val="0"/>
          <w:numId w:val="7"/>
        </w:numPr>
        <w:rPr>
          <w:rFonts w:asciiTheme="majorHAnsi" w:hAnsiTheme="majorHAnsi" w:cs="Times New Roman"/>
          <w:lang w:val="en-US"/>
        </w:rPr>
      </w:pPr>
      <w:r w:rsidRPr="006461A4">
        <w:rPr>
          <w:rFonts w:asciiTheme="majorHAnsi" w:hAnsiTheme="majorHAnsi" w:cs="Times New Roman"/>
          <w:lang w:val="en-US"/>
        </w:rPr>
        <w:t xml:space="preserve">For non-residents: An official civil registry document (or equivalent) not older than six months showing the country of residence. </w:t>
      </w:r>
    </w:p>
    <w:p w14:paraId="08888802" w14:textId="77777777" w:rsidR="008D5859" w:rsidRPr="006461A4" w:rsidRDefault="008D5859" w:rsidP="008D5859">
      <w:pPr>
        <w:pStyle w:val="Default"/>
        <w:rPr>
          <w:rFonts w:asciiTheme="majorHAnsi" w:hAnsiTheme="majorHAnsi" w:cs="Times New Roman"/>
          <w:lang w:val="en-US"/>
        </w:rPr>
      </w:pPr>
    </w:p>
    <w:p w14:paraId="78D66653"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t xml:space="preserve">Documents to be Filed </w:t>
      </w:r>
    </w:p>
    <w:p w14:paraId="542087CB"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The most recent versions of the following documents must be deposited per entity, if relevant for establishing UBO status (some optional): </w:t>
      </w:r>
    </w:p>
    <w:p w14:paraId="7F066A82"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a. Shareholder register b. Certificate </w:t>
      </w:r>
      <w:proofErr w:type="gramStart"/>
      <w:r w:rsidRPr="006461A4">
        <w:rPr>
          <w:rFonts w:asciiTheme="majorHAnsi" w:hAnsiTheme="majorHAnsi" w:cs="Times New Roman"/>
          <w:lang w:val="en-US"/>
        </w:rPr>
        <w:t>holder</w:t>
      </w:r>
      <w:proofErr w:type="gramEnd"/>
      <w:r w:rsidRPr="006461A4">
        <w:rPr>
          <w:rFonts w:asciiTheme="majorHAnsi" w:hAnsiTheme="majorHAnsi" w:cs="Times New Roman"/>
          <w:lang w:val="en-US"/>
        </w:rPr>
        <w:t xml:space="preserve"> register c. Deed of incorporation d. Other notarial deeds e. Member register (or number of members) f. Partnership agreement g. Organizational chart </w:t>
      </w:r>
      <w:proofErr w:type="spellStart"/>
      <w:r w:rsidRPr="006461A4">
        <w:rPr>
          <w:rFonts w:asciiTheme="majorHAnsi" w:hAnsiTheme="majorHAnsi" w:cs="Times New Roman"/>
          <w:lang w:val="en-US"/>
        </w:rPr>
        <w:t>h.</w:t>
      </w:r>
      <w:proofErr w:type="spellEnd"/>
      <w:r w:rsidRPr="006461A4">
        <w:rPr>
          <w:rFonts w:asciiTheme="majorHAnsi" w:hAnsiTheme="majorHAnsi" w:cs="Times New Roman"/>
          <w:lang w:val="en-US"/>
        </w:rPr>
        <w:t xml:space="preserve"> Other relevant documents </w:t>
      </w:r>
      <w:proofErr w:type="spellStart"/>
      <w:r w:rsidRPr="006461A4">
        <w:rPr>
          <w:rFonts w:asciiTheme="majorHAnsi" w:hAnsiTheme="majorHAnsi" w:cs="Times New Roman"/>
          <w:lang w:val="en-US"/>
        </w:rPr>
        <w:t>i</w:t>
      </w:r>
      <w:proofErr w:type="spellEnd"/>
      <w:r w:rsidRPr="006461A4">
        <w:rPr>
          <w:rFonts w:asciiTheme="majorHAnsi" w:hAnsiTheme="majorHAnsi" w:cs="Times New Roman"/>
          <w:lang w:val="en-US"/>
        </w:rPr>
        <w:t xml:space="preserve">. Power of attorney (if applicable) </w:t>
      </w:r>
    </w:p>
    <w:p w14:paraId="42F2F406" w14:textId="77777777" w:rsidR="008D5859" w:rsidRPr="006461A4" w:rsidRDefault="008D5859" w:rsidP="008D5859">
      <w:pPr>
        <w:pStyle w:val="Default"/>
        <w:rPr>
          <w:rFonts w:asciiTheme="majorHAnsi" w:hAnsiTheme="majorHAnsi" w:cs="Times New Roman"/>
          <w:b/>
          <w:bCs/>
          <w:lang w:val="en-US"/>
        </w:rPr>
      </w:pPr>
    </w:p>
    <w:p w14:paraId="3430EF6B" w14:textId="76A8C0A2"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t xml:space="preserve">UBO Interest </w:t>
      </w:r>
    </w:p>
    <w:p w14:paraId="518DF62B" w14:textId="77777777" w:rsid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If a UBO holds a specific interest in the entity, the nature and size of that interest must be classified as: a. 75–100%</w:t>
      </w:r>
    </w:p>
    <w:p w14:paraId="2D224095" w14:textId="77777777" w:rsid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b. 50–75% </w:t>
      </w:r>
    </w:p>
    <w:p w14:paraId="294A0F14" w14:textId="77777777" w:rsid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c. 25–50% </w:t>
      </w:r>
    </w:p>
    <w:p w14:paraId="290864B0" w14:textId="16147145"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d. Less than 25%, if Article 45 of </w:t>
      </w:r>
      <w:proofErr w:type="gramStart"/>
      <w:r w:rsidRPr="006461A4">
        <w:rPr>
          <w:rFonts w:asciiTheme="majorHAnsi" w:hAnsiTheme="majorHAnsi" w:cs="Times New Roman"/>
          <w:lang w:val="en-US"/>
        </w:rPr>
        <w:t>the ALL</w:t>
      </w:r>
      <w:proofErr w:type="gramEnd"/>
      <w:r w:rsidRPr="006461A4">
        <w:rPr>
          <w:rFonts w:asciiTheme="majorHAnsi" w:hAnsiTheme="majorHAnsi" w:cs="Times New Roman"/>
          <w:lang w:val="en-US"/>
        </w:rPr>
        <w:t xml:space="preserve"> provides for a lower threshold. </w:t>
      </w:r>
    </w:p>
    <w:p w14:paraId="72723C81" w14:textId="77777777" w:rsidR="008D5859" w:rsidRPr="006461A4" w:rsidRDefault="008D5859" w:rsidP="008D5859">
      <w:pPr>
        <w:pStyle w:val="Default"/>
        <w:rPr>
          <w:rFonts w:asciiTheme="majorHAnsi" w:hAnsiTheme="majorHAnsi" w:cs="Times New Roman"/>
          <w:b/>
          <w:bCs/>
          <w:lang w:val="en-US"/>
        </w:rPr>
      </w:pPr>
    </w:p>
    <w:p w14:paraId="420B88D5" w14:textId="7D8856AE"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t xml:space="preserve">New Entities </w:t>
      </w:r>
    </w:p>
    <w:p w14:paraId="270B42A1"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For newly formed or established entities, UBO registration must take place within two weeks after formation. </w:t>
      </w:r>
    </w:p>
    <w:p w14:paraId="29A552A8" w14:textId="77777777" w:rsidR="008D5859" w:rsidRPr="006461A4" w:rsidRDefault="008D5859" w:rsidP="008D5859">
      <w:pPr>
        <w:pStyle w:val="Default"/>
        <w:rPr>
          <w:rFonts w:asciiTheme="majorHAnsi" w:hAnsiTheme="majorHAnsi" w:cs="Times New Roman"/>
          <w:lang w:val="en-US"/>
        </w:rPr>
      </w:pPr>
    </w:p>
    <w:p w14:paraId="74E47C55" w14:textId="7607F094"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t xml:space="preserve">Existing Entities </w:t>
      </w:r>
    </w:p>
    <w:p w14:paraId="7C82CB1A"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Entities already registered in the Commercial Register have twelve months </w:t>
      </w:r>
      <w:proofErr w:type="gramStart"/>
      <w:r w:rsidRPr="006461A4">
        <w:rPr>
          <w:rFonts w:asciiTheme="majorHAnsi" w:hAnsiTheme="majorHAnsi" w:cs="Times New Roman"/>
          <w:lang w:val="en-US"/>
        </w:rPr>
        <w:t>from</w:t>
      </w:r>
      <w:proofErr w:type="gramEnd"/>
      <w:r w:rsidRPr="006461A4">
        <w:rPr>
          <w:rFonts w:asciiTheme="majorHAnsi" w:hAnsiTheme="majorHAnsi" w:cs="Times New Roman"/>
          <w:lang w:val="en-US"/>
        </w:rPr>
        <w:t xml:space="preserve"> the establishment of the UBO register to submit the required information. This period ends on 1 July 2025. </w:t>
      </w:r>
    </w:p>
    <w:p w14:paraId="078AF71B" w14:textId="77777777" w:rsidR="008D5859" w:rsidRPr="006461A4" w:rsidRDefault="008D5859" w:rsidP="008D5859">
      <w:pPr>
        <w:pStyle w:val="Default"/>
        <w:rPr>
          <w:rFonts w:asciiTheme="majorHAnsi" w:hAnsiTheme="majorHAnsi" w:cs="Times New Roman"/>
          <w:b/>
          <w:bCs/>
          <w:lang w:val="en-US"/>
        </w:rPr>
      </w:pPr>
    </w:p>
    <w:p w14:paraId="40B698F6" w14:textId="4660B84B"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t xml:space="preserve">Changes in UBO Information or Documents </w:t>
      </w:r>
    </w:p>
    <w:p w14:paraId="3816DA3A"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Any changes to UBO information or documents must be reported to the register within two weeks after the change. If information is not submitted in time, the Secretary will issue a notice requiring submission of the missing data within two weeks. </w:t>
      </w:r>
    </w:p>
    <w:p w14:paraId="3B45C573" w14:textId="77777777" w:rsidR="008D5859" w:rsidRPr="006461A4" w:rsidRDefault="008D5859" w:rsidP="008D5859">
      <w:pPr>
        <w:pStyle w:val="Default"/>
        <w:rPr>
          <w:rFonts w:asciiTheme="majorHAnsi" w:hAnsiTheme="majorHAnsi" w:cs="Times New Roman"/>
          <w:b/>
          <w:bCs/>
          <w:lang w:val="en-US"/>
        </w:rPr>
      </w:pPr>
    </w:p>
    <w:p w14:paraId="0F02EA5E" w14:textId="77777777" w:rsidR="006461A4" w:rsidRDefault="006461A4" w:rsidP="008D5859">
      <w:pPr>
        <w:pStyle w:val="Default"/>
        <w:rPr>
          <w:rFonts w:asciiTheme="majorHAnsi" w:hAnsiTheme="majorHAnsi" w:cs="Times New Roman"/>
          <w:b/>
          <w:bCs/>
          <w:lang w:val="en-US"/>
        </w:rPr>
      </w:pPr>
    </w:p>
    <w:p w14:paraId="5FBEBA23" w14:textId="19312FC9"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lastRenderedPageBreak/>
        <w:t xml:space="preserve">Access and Retention of UBO Data </w:t>
      </w:r>
    </w:p>
    <w:p w14:paraId="32F7AD1A"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UBO data and documents can be accessed for up to ten years after deregistration from the Commercial Register. The Chamber will notify the Tax Inspector of deregistration. For a UBO, data can be accessed for up to ten years after they cease to be a UBO of the entity. </w:t>
      </w:r>
    </w:p>
    <w:p w14:paraId="71ED5E23" w14:textId="77777777" w:rsidR="008D5859" w:rsidRPr="006461A4" w:rsidRDefault="008D5859" w:rsidP="008D5859">
      <w:pPr>
        <w:pStyle w:val="Default"/>
        <w:rPr>
          <w:rFonts w:asciiTheme="majorHAnsi" w:hAnsiTheme="majorHAnsi" w:cs="Times New Roman"/>
          <w:b/>
          <w:bCs/>
          <w:lang w:val="en-US"/>
        </w:rPr>
      </w:pPr>
    </w:p>
    <w:p w14:paraId="62B896DC" w14:textId="7EB49CB9"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t xml:space="preserve">Notifications to the Chamber </w:t>
      </w:r>
    </w:p>
    <w:p w14:paraId="5E805CA6"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Competent authorities must notify the Chamber of any discrepancies between the UBO data in the register and other information they possess—unless doing so would unnecessarily interfere with their legal duties. The Secretary will update the records and inform the board of the entity. </w:t>
      </w:r>
    </w:p>
    <w:p w14:paraId="7AC651BC" w14:textId="77777777" w:rsidR="008D5859" w:rsidRPr="006461A4" w:rsidRDefault="008D5859" w:rsidP="008D5859">
      <w:pPr>
        <w:pStyle w:val="Default"/>
        <w:rPr>
          <w:rFonts w:asciiTheme="majorHAnsi" w:hAnsiTheme="majorHAnsi" w:cs="Times New Roman"/>
          <w:b/>
          <w:bCs/>
          <w:lang w:val="en-US"/>
        </w:rPr>
      </w:pPr>
    </w:p>
    <w:p w14:paraId="7D6F2744" w14:textId="3A416B83"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t xml:space="preserve">Notifications to the Tax Inspector </w:t>
      </w:r>
    </w:p>
    <w:p w14:paraId="2C42492D"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The Secretary or a competent authority will notify the Tax Inspector if: </w:t>
      </w:r>
    </w:p>
    <w:p w14:paraId="05FE055D"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a. The filer fails to follow instructions or amend the filing on </w:t>
      </w:r>
      <w:proofErr w:type="gramStart"/>
      <w:r w:rsidRPr="006461A4">
        <w:rPr>
          <w:rFonts w:asciiTheme="majorHAnsi" w:hAnsiTheme="majorHAnsi" w:cs="Times New Roman"/>
          <w:lang w:val="en-US"/>
        </w:rPr>
        <w:t>time;</w:t>
      </w:r>
      <w:proofErr w:type="gramEnd"/>
      <w:r w:rsidRPr="006461A4">
        <w:rPr>
          <w:rFonts w:asciiTheme="majorHAnsi" w:hAnsiTheme="majorHAnsi" w:cs="Times New Roman"/>
          <w:lang w:val="en-US"/>
        </w:rPr>
        <w:t xml:space="preserve"> b. There is reason to believe that not all information has been provided; c. A newly formed entity or data change was not registered within the required timeframe; d. The National Decree has been violated. </w:t>
      </w:r>
    </w:p>
    <w:p w14:paraId="527EC813" w14:textId="77777777" w:rsidR="008D5859" w:rsidRPr="006461A4" w:rsidRDefault="008D5859" w:rsidP="008D5859">
      <w:pPr>
        <w:pStyle w:val="Default"/>
        <w:rPr>
          <w:rFonts w:asciiTheme="majorHAnsi" w:hAnsiTheme="majorHAnsi" w:cs="Times New Roman"/>
          <w:b/>
          <w:bCs/>
          <w:lang w:val="en-US"/>
        </w:rPr>
      </w:pPr>
    </w:p>
    <w:p w14:paraId="7D20753B" w14:textId="64CE57F8"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t xml:space="preserve">Enforcement </w:t>
      </w:r>
    </w:p>
    <w:p w14:paraId="613E5E54"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The Chamber or a competent authority may report inaccurate or incomplete filings to the Tax Inspector, who may then take appropriate action. </w:t>
      </w:r>
    </w:p>
    <w:p w14:paraId="3DABD9CF" w14:textId="77777777" w:rsidR="008D5859" w:rsidRPr="006461A4" w:rsidRDefault="008D5859" w:rsidP="008D5859">
      <w:pPr>
        <w:pStyle w:val="Default"/>
        <w:rPr>
          <w:rFonts w:asciiTheme="majorHAnsi" w:hAnsiTheme="majorHAnsi" w:cs="Times New Roman"/>
          <w:b/>
          <w:bCs/>
          <w:lang w:val="en-US"/>
        </w:rPr>
      </w:pPr>
    </w:p>
    <w:p w14:paraId="30B5AD22" w14:textId="4E6CC419"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b/>
          <w:bCs/>
          <w:lang w:val="en-US"/>
        </w:rPr>
        <w:t xml:space="preserve">Transitional and Final Provisions </w:t>
      </w:r>
    </w:p>
    <w:p w14:paraId="44BFCB6A" w14:textId="77777777" w:rsidR="008D5859" w:rsidRPr="006461A4" w:rsidRDefault="008D5859" w:rsidP="008D5859">
      <w:pPr>
        <w:pStyle w:val="Default"/>
        <w:rPr>
          <w:rFonts w:asciiTheme="majorHAnsi" w:hAnsiTheme="majorHAnsi" w:cs="Times New Roman"/>
          <w:lang w:val="en-US"/>
        </w:rPr>
      </w:pPr>
      <w:r w:rsidRPr="006461A4">
        <w:rPr>
          <w:rFonts w:asciiTheme="majorHAnsi" w:hAnsiTheme="majorHAnsi" w:cs="Times New Roman"/>
          <w:lang w:val="en-US"/>
        </w:rPr>
        <w:t xml:space="preserve">Within six months of this decree coming into force, the Chamber will register UBO data for entities already in the Commercial Register. For other filings and document submissions required due to this decree, a twelve-month period applies—limited to entities already registered as of the decree's effective date. </w:t>
      </w:r>
    </w:p>
    <w:p w14:paraId="2F65D35E" w14:textId="77777777" w:rsidR="008D5859" w:rsidRPr="006461A4" w:rsidRDefault="008D5859" w:rsidP="008D5859">
      <w:pPr>
        <w:rPr>
          <w:rFonts w:asciiTheme="majorHAnsi" w:hAnsiTheme="majorHAnsi" w:cs="Times New Roman"/>
          <w:b/>
          <w:bCs/>
          <w:sz w:val="24"/>
          <w:szCs w:val="24"/>
          <w:lang w:val="en-US"/>
        </w:rPr>
      </w:pPr>
    </w:p>
    <w:p w14:paraId="409E3739" w14:textId="04CFB52B" w:rsidR="0064068B" w:rsidRPr="006461A4" w:rsidRDefault="008D5859" w:rsidP="008D5859">
      <w:pPr>
        <w:rPr>
          <w:rFonts w:asciiTheme="majorHAnsi" w:hAnsiTheme="majorHAnsi"/>
          <w:sz w:val="24"/>
          <w:szCs w:val="24"/>
          <w:lang w:val="en-US"/>
        </w:rPr>
      </w:pPr>
      <w:r w:rsidRPr="006461A4">
        <w:rPr>
          <w:rFonts w:asciiTheme="majorHAnsi" w:hAnsiTheme="majorHAnsi" w:cs="Times New Roman"/>
          <w:b/>
          <w:bCs/>
          <w:sz w:val="24"/>
          <w:szCs w:val="24"/>
          <w:lang w:val="en-US"/>
        </w:rPr>
        <w:t>Source</w:t>
      </w:r>
      <w:r w:rsidRPr="006461A4">
        <w:rPr>
          <w:rFonts w:asciiTheme="majorHAnsi" w:hAnsiTheme="majorHAnsi" w:cs="Times New Roman"/>
          <w:sz w:val="24"/>
          <w:szCs w:val="24"/>
          <w:lang w:val="en-US"/>
        </w:rPr>
        <w:t>: National Decree on UBO Registration, published on 7 June 2024.</w:t>
      </w:r>
    </w:p>
    <w:sectPr w:rsidR="0064068B" w:rsidRPr="006461A4" w:rsidSect="00801848">
      <w:type w:val="continuous"/>
      <w:pgSz w:w="11909" w:h="16834" w:code="9"/>
      <w:pgMar w:top="1411" w:right="837" w:bottom="1411" w:left="1411" w:header="432"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EFF9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30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A8704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1B2D1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AB46E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A3B78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90C51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25400714">
    <w:abstractNumId w:val="1"/>
  </w:num>
  <w:num w:numId="2" w16cid:durableId="243536797">
    <w:abstractNumId w:val="6"/>
  </w:num>
  <w:num w:numId="3" w16cid:durableId="821193309">
    <w:abstractNumId w:val="3"/>
  </w:num>
  <w:num w:numId="4" w16cid:durableId="1389037765">
    <w:abstractNumId w:val="5"/>
  </w:num>
  <w:num w:numId="5" w16cid:durableId="462773937">
    <w:abstractNumId w:val="2"/>
  </w:num>
  <w:num w:numId="6" w16cid:durableId="2125535435">
    <w:abstractNumId w:val="4"/>
  </w:num>
  <w:num w:numId="7" w16cid:durableId="167306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59"/>
    <w:rsid w:val="00021BC9"/>
    <w:rsid w:val="0004144F"/>
    <w:rsid w:val="00536C25"/>
    <w:rsid w:val="005A2DDB"/>
    <w:rsid w:val="0064068B"/>
    <w:rsid w:val="006461A4"/>
    <w:rsid w:val="00691911"/>
    <w:rsid w:val="00801848"/>
    <w:rsid w:val="008D5859"/>
    <w:rsid w:val="00921700"/>
    <w:rsid w:val="00A471BB"/>
    <w:rsid w:val="00AF2D2E"/>
    <w:rsid w:val="00B022C6"/>
    <w:rsid w:val="00BF5DAE"/>
    <w:rsid w:val="00C94226"/>
    <w:rsid w:val="00D02581"/>
    <w:rsid w:val="00E627CE"/>
    <w:rsid w:val="00EE22CA"/>
    <w:rsid w:val="00F41D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46CA"/>
  <w15:chartTrackingRefBased/>
  <w15:docId w15:val="{79CE42F6-876B-4EBD-9308-B6D73031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59"/>
  </w:style>
  <w:style w:type="paragraph" w:styleId="Heading1">
    <w:name w:val="heading 1"/>
    <w:basedOn w:val="Normal"/>
    <w:next w:val="Normal"/>
    <w:link w:val="Heading1Char"/>
    <w:uiPriority w:val="9"/>
    <w:qFormat/>
    <w:rsid w:val="008D5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859"/>
    <w:rPr>
      <w:rFonts w:eastAsiaTheme="majorEastAsia" w:cstheme="majorBidi"/>
      <w:color w:val="272727" w:themeColor="text1" w:themeTint="D8"/>
    </w:rPr>
  </w:style>
  <w:style w:type="paragraph" w:styleId="Title">
    <w:name w:val="Title"/>
    <w:basedOn w:val="Normal"/>
    <w:next w:val="Normal"/>
    <w:link w:val="TitleChar"/>
    <w:uiPriority w:val="10"/>
    <w:qFormat/>
    <w:rsid w:val="008D5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859"/>
    <w:pPr>
      <w:spacing w:before="160"/>
      <w:jc w:val="center"/>
    </w:pPr>
    <w:rPr>
      <w:i/>
      <w:iCs/>
      <w:color w:val="404040" w:themeColor="text1" w:themeTint="BF"/>
    </w:rPr>
  </w:style>
  <w:style w:type="character" w:customStyle="1" w:styleId="QuoteChar">
    <w:name w:val="Quote Char"/>
    <w:basedOn w:val="DefaultParagraphFont"/>
    <w:link w:val="Quote"/>
    <w:uiPriority w:val="29"/>
    <w:rsid w:val="008D5859"/>
    <w:rPr>
      <w:i/>
      <w:iCs/>
      <w:color w:val="404040" w:themeColor="text1" w:themeTint="BF"/>
    </w:rPr>
  </w:style>
  <w:style w:type="paragraph" w:styleId="ListParagraph">
    <w:name w:val="List Paragraph"/>
    <w:basedOn w:val="Normal"/>
    <w:uiPriority w:val="34"/>
    <w:qFormat/>
    <w:rsid w:val="008D5859"/>
    <w:pPr>
      <w:ind w:left="720"/>
      <w:contextualSpacing/>
    </w:pPr>
  </w:style>
  <w:style w:type="character" w:styleId="IntenseEmphasis">
    <w:name w:val="Intense Emphasis"/>
    <w:basedOn w:val="DefaultParagraphFont"/>
    <w:uiPriority w:val="21"/>
    <w:qFormat/>
    <w:rsid w:val="008D5859"/>
    <w:rPr>
      <w:i/>
      <w:iCs/>
      <w:color w:val="0F4761" w:themeColor="accent1" w:themeShade="BF"/>
    </w:rPr>
  </w:style>
  <w:style w:type="paragraph" w:styleId="IntenseQuote">
    <w:name w:val="Intense Quote"/>
    <w:basedOn w:val="Normal"/>
    <w:next w:val="Normal"/>
    <w:link w:val="IntenseQuoteChar"/>
    <w:uiPriority w:val="30"/>
    <w:qFormat/>
    <w:rsid w:val="008D5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859"/>
    <w:rPr>
      <w:i/>
      <w:iCs/>
      <w:color w:val="0F4761" w:themeColor="accent1" w:themeShade="BF"/>
    </w:rPr>
  </w:style>
  <w:style w:type="character" w:styleId="IntenseReference">
    <w:name w:val="Intense Reference"/>
    <w:basedOn w:val="DefaultParagraphFont"/>
    <w:uiPriority w:val="32"/>
    <w:qFormat/>
    <w:rsid w:val="008D5859"/>
    <w:rPr>
      <w:b/>
      <w:bCs/>
      <w:smallCaps/>
      <w:color w:val="0F4761" w:themeColor="accent1" w:themeShade="BF"/>
      <w:spacing w:val="5"/>
    </w:rPr>
  </w:style>
  <w:style w:type="paragraph" w:customStyle="1" w:styleId="Default">
    <w:name w:val="Default"/>
    <w:rsid w:val="008D5859"/>
    <w:pPr>
      <w:autoSpaceDE w:val="0"/>
      <w:autoSpaceDN w:val="0"/>
      <w:adjustRightInd w:val="0"/>
      <w:spacing w:after="0" w:line="240" w:lineRule="auto"/>
    </w:pPr>
    <w:rPr>
      <w:rFonts w:ascii="Palatino Linotype" w:hAnsi="Palatino Linotype" w:cs="Palatino Linotype"/>
      <w:color w:val="000000"/>
      <w:kern w:val="0"/>
      <w:sz w:val="24"/>
      <w:szCs w:val="24"/>
    </w:rPr>
  </w:style>
  <w:style w:type="paragraph" w:styleId="NormalWeb">
    <w:name w:val="Normal (Web)"/>
    <w:basedOn w:val="Normal"/>
    <w:uiPriority w:val="99"/>
    <w:semiHidden/>
    <w:unhideWhenUsed/>
    <w:rsid w:val="008D585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file:///f:\prog\wp51\graphics\kvkpcx.w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2CB86-CB06-47D2-BF3F-170CBF45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1655</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2025-11-01T18:16:00Z</dcterms:created>
  <dcterms:modified xsi:type="dcterms:W3CDTF">2025-11-01T18:58:00Z</dcterms:modified>
</cp:coreProperties>
</file>