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73000" w14:textId="4D8D2A22" w:rsidR="002A28B7" w:rsidRDefault="002A28B7" w:rsidP="002A28B7">
      <w:pPr>
        <w:rPr>
          <w:rFonts w:ascii="Garamond" w:hAnsi="Garamond"/>
        </w:rPr>
      </w:pPr>
      <w:bookmarkStart w:id="0" w:name="_Hlk200814057"/>
      <w:r w:rsidRPr="001079F9">
        <w:rPr>
          <w:rFonts w:ascii="Palatino Linotype" w:hAnsi="Palatino Linotype" w:cs="Calibri"/>
          <w:noProof/>
        </w:rPr>
        <w:drawing>
          <wp:anchor distT="0" distB="0" distL="114300" distR="114300" simplePos="0" relativeHeight="251661312" behindDoc="0" locked="0" layoutInCell="1" allowOverlap="1" wp14:anchorId="07A6B153" wp14:editId="1B51460A">
            <wp:simplePos x="0" y="0"/>
            <wp:positionH relativeFrom="column">
              <wp:posOffset>9525</wp:posOffset>
            </wp:positionH>
            <wp:positionV relativeFrom="paragraph">
              <wp:posOffset>85725</wp:posOffset>
            </wp:positionV>
            <wp:extent cx="809625" cy="790575"/>
            <wp:effectExtent l="0" t="0" r="9525" b="9525"/>
            <wp:wrapNone/>
            <wp:docPr id="1314799161" name="Picture 1" descr="f:\prog\wp51\graphics\kvkpcx.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rog\wp51\graphics\kvkpcx.w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l="43132" t="6674" r="26378" b="23102"/>
                    <a:stretch>
                      <a:fillRect/>
                    </a:stretch>
                  </pic:blipFill>
                  <pic:spPr bwMode="auto">
                    <a:xfrm>
                      <a:off x="0" y="0"/>
                      <a:ext cx="814200" cy="7950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96005" w14:textId="365FA724" w:rsidR="002A28B7" w:rsidRDefault="002A28B7" w:rsidP="002A28B7">
      <w:pPr>
        <w:tabs>
          <w:tab w:val="center" w:pos="5482"/>
        </w:tabs>
        <w:suppressAutoHyphens/>
        <w:spacing w:after="0"/>
        <w:jc w:val="center"/>
        <w:rPr>
          <w:rFonts w:ascii="Palatino Linotype" w:hAnsi="Palatino Linotype" w:cs="Calibri"/>
          <w:b/>
          <w:sz w:val="32"/>
          <w:szCs w:val="32"/>
        </w:rPr>
      </w:pPr>
      <w:r>
        <w:rPr>
          <w:rFonts w:ascii="Palatino Linotype" w:hAnsi="Palatino Linotype" w:cs="Calibri"/>
          <w:b/>
          <w:sz w:val="32"/>
          <w:szCs w:val="32"/>
        </w:rPr>
        <w:t>INFORMATIE UBO-REGISTER</w:t>
      </w:r>
    </w:p>
    <w:p w14:paraId="7FA5687E" w14:textId="77777777" w:rsidR="002A28B7" w:rsidRPr="001079F9" w:rsidRDefault="002A28B7" w:rsidP="002A28B7">
      <w:pPr>
        <w:tabs>
          <w:tab w:val="center" w:pos="5482"/>
        </w:tabs>
        <w:suppressAutoHyphens/>
        <w:rPr>
          <w:rFonts w:ascii="Palatino Linotype" w:hAnsi="Palatino Linotype" w:cs="Calibri"/>
        </w:rPr>
      </w:pPr>
    </w:p>
    <w:bookmarkEnd w:id="0"/>
    <w:p w14:paraId="61FDF767" w14:textId="77777777" w:rsidR="00A667D5" w:rsidRDefault="00A667D5" w:rsidP="0040427E">
      <w:pPr>
        <w:rPr>
          <w:rFonts w:asciiTheme="majorHAnsi" w:hAnsiTheme="majorHAnsi"/>
          <w:sz w:val="24"/>
          <w:szCs w:val="24"/>
        </w:rPr>
      </w:pPr>
    </w:p>
    <w:p w14:paraId="3CFC8195" w14:textId="63AC3F1C" w:rsidR="002A28B7" w:rsidRPr="00F31840" w:rsidRDefault="002A28B7" w:rsidP="0040427E">
      <w:pPr>
        <w:rPr>
          <w:rFonts w:asciiTheme="majorHAnsi" w:hAnsiTheme="majorHAnsi"/>
          <w:sz w:val="24"/>
          <w:szCs w:val="24"/>
        </w:rPr>
      </w:pPr>
      <w:r w:rsidRPr="00F31840">
        <w:rPr>
          <w:rFonts w:asciiTheme="majorHAnsi" w:hAnsiTheme="majorHAnsi"/>
          <w:sz w:val="24"/>
          <w:szCs w:val="24"/>
        </w:rPr>
        <w:t xml:space="preserve">De Kamer van Koophandel en Nijverheid is aangewezen als de entiteit die een UBO-register houdt. De werkzaamheden ter zake van de registratie van gegevens en het verstrekken van gegevens aan de bevoegde instanties worden gedaan door de Secretaris van de Kamer. </w:t>
      </w:r>
    </w:p>
    <w:p w14:paraId="30307DA2" w14:textId="77777777" w:rsidR="002A28B7" w:rsidRPr="002A28B7" w:rsidRDefault="002A28B7" w:rsidP="0040427E">
      <w:pPr>
        <w:pStyle w:val="Heading1"/>
        <w:spacing w:before="0"/>
        <w:rPr>
          <w:color w:val="auto"/>
          <w:sz w:val="24"/>
          <w:szCs w:val="24"/>
        </w:rPr>
      </w:pPr>
      <w:r w:rsidRPr="002A28B7">
        <w:rPr>
          <w:color w:val="auto"/>
          <w:sz w:val="24"/>
          <w:szCs w:val="24"/>
        </w:rPr>
        <w:t>Het UBO-register is een gesloten register; uitsluitend de bevoegde instanties die in de wet worden genoemd hebben het recht op inzage in het register</w:t>
      </w:r>
      <w:r w:rsidRPr="002A28B7">
        <w:rPr>
          <w:rFonts w:cs="Calibri"/>
          <w:color w:val="auto"/>
          <w:sz w:val="24"/>
          <w:szCs w:val="24"/>
        </w:rPr>
        <w:t xml:space="preserve"> voor zover de bevoegde instantie handelt in het kader van de uitoefening van haar wettelijke taak of bevoegdheid</w:t>
      </w:r>
      <w:r w:rsidRPr="002A28B7">
        <w:rPr>
          <w:color w:val="auto"/>
          <w:sz w:val="24"/>
          <w:szCs w:val="24"/>
        </w:rPr>
        <w:t xml:space="preserve">. </w:t>
      </w:r>
    </w:p>
    <w:p w14:paraId="4962960C" w14:textId="58731CBC" w:rsidR="002A28B7" w:rsidRPr="002A28B7" w:rsidRDefault="00A667D5" w:rsidP="0040427E">
      <w:pPr>
        <w:spacing w:after="0" w:line="240" w:lineRule="atLeast"/>
        <w:rPr>
          <w:rFonts w:asciiTheme="majorHAnsi" w:hAnsiTheme="majorHAnsi"/>
          <w:b/>
          <w:bCs/>
          <w:sz w:val="24"/>
          <w:szCs w:val="24"/>
        </w:rPr>
      </w:pPr>
      <w:r>
        <w:rPr>
          <w:rFonts w:asciiTheme="majorHAnsi" w:hAnsiTheme="majorHAnsi"/>
          <w:b/>
          <w:bCs/>
          <w:sz w:val="24"/>
          <w:szCs w:val="24"/>
        </w:rPr>
        <w:t>Achtergrond</w:t>
      </w:r>
    </w:p>
    <w:p w14:paraId="6DCC41BF" w14:textId="35E66CF0" w:rsidR="002A28B7" w:rsidRPr="00F31840" w:rsidRDefault="002A28B7" w:rsidP="0040427E">
      <w:pPr>
        <w:spacing w:after="0" w:line="240" w:lineRule="atLeast"/>
        <w:rPr>
          <w:rFonts w:asciiTheme="majorHAnsi" w:hAnsiTheme="majorHAnsi"/>
          <w:sz w:val="24"/>
          <w:szCs w:val="24"/>
        </w:rPr>
      </w:pPr>
      <w:r w:rsidRPr="00F31840">
        <w:rPr>
          <w:rFonts w:asciiTheme="majorHAnsi" w:hAnsiTheme="majorHAnsi"/>
          <w:sz w:val="24"/>
          <w:szCs w:val="24"/>
        </w:rPr>
        <w:t xml:space="preserve">In het Landsbesluit </w:t>
      </w:r>
      <w:r w:rsidR="00954448">
        <w:rPr>
          <w:rFonts w:asciiTheme="majorHAnsi" w:hAnsiTheme="majorHAnsi"/>
          <w:sz w:val="24"/>
          <w:szCs w:val="24"/>
        </w:rPr>
        <w:t xml:space="preserve">van 7 juni 2024 </w:t>
      </w:r>
      <w:r w:rsidRPr="00F31840">
        <w:rPr>
          <w:rFonts w:asciiTheme="majorHAnsi" w:hAnsiTheme="majorHAnsi"/>
          <w:sz w:val="24"/>
          <w:szCs w:val="24"/>
        </w:rPr>
        <w:t>is bepaald dat voor bestaande lichamen die bij de inwerkingtreding van deze wet al in het handelsregister waren ingeschreven (</w:t>
      </w:r>
      <w:r w:rsidR="00954448">
        <w:rPr>
          <w:rFonts w:asciiTheme="majorHAnsi" w:hAnsiTheme="majorHAnsi"/>
          <w:sz w:val="24"/>
          <w:szCs w:val="24"/>
        </w:rPr>
        <w:t xml:space="preserve">per </w:t>
      </w:r>
      <w:r w:rsidRPr="00F31840">
        <w:rPr>
          <w:rFonts w:asciiTheme="majorHAnsi" w:hAnsiTheme="majorHAnsi"/>
          <w:sz w:val="24"/>
          <w:szCs w:val="24"/>
        </w:rPr>
        <w:t xml:space="preserve">7 juni 2024) de verplichte opgaven </w:t>
      </w:r>
      <w:r>
        <w:rPr>
          <w:rFonts w:asciiTheme="majorHAnsi" w:hAnsiTheme="majorHAnsi"/>
          <w:sz w:val="24"/>
          <w:szCs w:val="24"/>
        </w:rPr>
        <w:t xml:space="preserve">aan het UBO-register </w:t>
      </w:r>
      <w:r w:rsidRPr="0040427E">
        <w:rPr>
          <w:rFonts w:asciiTheme="majorHAnsi" w:hAnsiTheme="majorHAnsi"/>
          <w:sz w:val="24"/>
          <w:szCs w:val="24"/>
        </w:rPr>
        <w:t>binnen twaalf maanden</w:t>
      </w:r>
      <w:r w:rsidRPr="00F31840">
        <w:rPr>
          <w:rFonts w:asciiTheme="majorHAnsi" w:hAnsiTheme="majorHAnsi"/>
          <w:sz w:val="24"/>
          <w:szCs w:val="24"/>
        </w:rPr>
        <w:t xml:space="preserve"> na de eerste dag van de maand volgende op die van inwerkingtreding van het landsbesluit. </w:t>
      </w:r>
      <w:r>
        <w:rPr>
          <w:rFonts w:asciiTheme="majorHAnsi" w:hAnsiTheme="majorHAnsi"/>
          <w:sz w:val="24"/>
          <w:szCs w:val="24"/>
        </w:rPr>
        <w:t xml:space="preserve">Lichamen hebben </w:t>
      </w:r>
      <w:r w:rsidR="00A667D5">
        <w:rPr>
          <w:rFonts w:asciiTheme="majorHAnsi" w:hAnsiTheme="majorHAnsi"/>
          <w:sz w:val="24"/>
          <w:szCs w:val="24"/>
        </w:rPr>
        <w:t xml:space="preserve">inmiddels </w:t>
      </w:r>
      <w:r>
        <w:rPr>
          <w:rFonts w:asciiTheme="majorHAnsi" w:hAnsiTheme="majorHAnsi"/>
          <w:sz w:val="24"/>
          <w:szCs w:val="24"/>
        </w:rPr>
        <w:t>de tijd gehad om aan de verplichting te voldoen; d</w:t>
      </w:r>
      <w:r w:rsidRPr="00F31840">
        <w:rPr>
          <w:rFonts w:asciiTheme="majorHAnsi" w:hAnsiTheme="majorHAnsi"/>
          <w:sz w:val="24"/>
          <w:szCs w:val="24"/>
        </w:rPr>
        <w:t>e deadline is dus 1 juli 2025.</w:t>
      </w:r>
    </w:p>
    <w:p w14:paraId="017AE545" w14:textId="77777777" w:rsidR="00954448" w:rsidRDefault="00954448" w:rsidP="0040427E">
      <w:pPr>
        <w:spacing w:after="0"/>
        <w:rPr>
          <w:rFonts w:asciiTheme="majorHAnsi" w:hAnsiTheme="majorHAnsi"/>
          <w:b/>
          <w:bCs/>
          <w:sz w:val="24"/>
          <w:szCs w:val="24"/>
        </w:rPr>
      </w:pPr>
    </w:p>
    <w:p w14:paraId="26A03B11" w14:textId="46E605D7" w:rsidR="00954448" w:rsidRPr="00C1383A" w:rsidRDefault="00954448" w:rsidP="0040427E">
      <w:pPr>
        <w:spacing w:after="0"/>
        <w:rPr>
          <w:rFonts w:asciiTheme="majorHAnsi" w:hAnsiTheme="majorHAnsi"/>
          <w:b/>
          <w:bCs/>
          <w:sz w:val="24"/>
          <w:szCs w:val="24"/>
        </w:rPr>
      </w:pPr>
      <w:r w:rsidRPr="00C1383A">
        <w:rPr>
          <w:rFonts w:asciiTheme="majorHAnsi" w:hAnsiTheme="majorHAnsi"/>
          <w:b/>
          <w:bCs/>
          <w:sz w:val="24"/>
          <w:szCs w:val="24"/>
        </w:rPr>
        <w:t>Porta</w:t>
      </w:r>
      <w:r>
        <w:rPr>
          <w:rFonts w:asciiTheme="majorHAnsi" w:hAnsiTheme="majorHAnsi"/>
          <w:b/>
          <w:bCs/>
          <w:sz w:val="24"/>
          <w:szCs w:val="24"/>
        </w:rPr>
        <w:t>a</w:t>
      </w:r>
      <w:r w:rsidRPr="00C1383A">
        <w:rPr>
          <w:rFonts w:asciiTheme="majorHAnsi" w:hAnsiTheme="majorHAnsi"/>
          <w:b/>
          <w:bCs/>
          <w:sz w:val="24"/>
          <w:szCs w:val="24"/>
        </w:rPr>
        <w:t>l</w:t>
      </w:r>
      <w:r>
        <w:rPr>
          <w:rFonts w:asciiTheme="majorHAnsi" w:hAnsiTheme="majorHAnsi"/>
          <w:b/>
          <w:bCs/>
          <w:sz w:val="24"/>
          <w:szCs w:val="24"/>
        </w:rPr>
        <w:t xml:space="preserve"> voor digitale opgave</w:t>
      </w:r>
    </w:p>
    <w:p w14:paraId="7528E598" w14:textId="17D80557" w:rsidR="007B1AA3" w:rsidRPr="00C1383A" w:rsidRDefault="007B1AA3" w:rsidP="0040427E">
      <w:pPr>
        <w:rPr>
          <w:rFonts w:asciiTheme="majorHAnsi" w:hAnsiTheme="majorHAnsi"/>
          <w:sz w:val="24"/>
          <w:szCs w:val="24"/>
        </w:rPr>
      </w:pPr>
      <w:r w:rsidRPr="00C1383A">
        <w:rPr>
          <w:rFonts w:asciiTheme="majorHAnsi" w:hAnsiTheme="majorHAnsi"/>
          <w:sz w:val="24"/>
          <w:szCs w:val="24"/>
        </w:rPr>
        <w:t xml:space="preserve">Gedurende de afgelopen maanden kon de opgave </w:t>
      </w:r>
      <w:r>
        <w:rPr>
          <w:rFonts w:asciiTheme="majorHAnsi" w:hAnsiTheme="majorHAnsi"/>
          <w:sz w:val="24"/>
          <w:szCs w:val="24"/>
        </w:rPr>
        <w:t xml:space="preserve">aan het UBO-register worden </w:t>
      </w:r>
      <w:r w:rsidRPr="00C1383A">
        <w:rPr>
          <w:rFonts w:asciiTheme="majorHAnsi" w:hAnsiTheme="majorHAnsi"/>
          <w:sz w:val="24"/>
          <w:szCs w:val="24"/>
        </w:rPr>
        <w:t xml:space="preserve">gedaan via het emailadres </w:t>
      </w:r>
      <w:hyperlink r:id="rId7" w:history="1">
        <w:r w:rsidRPr="00874FC1">
          <w:rPr>
            <w:rStyle w:val="Hyperlink"/>
            <w:rFonts w:asciiTheme="majorHAnsi" w:hAnsiTheme="majorHAnsi"/>
            <w:sz w:val="24"/>
            <w:szCs w:val="24"/>
          </w:rPr>
          <w:t>ubo@curacao-chamber.cw</w:t>
        </w:r>
      </w:hyperlink>
      <w:r>
        <w:rPr>
          <w:rFonts w:asciiTheme="majorHAnsi" w:hAnsiTheme="majorHAnsi"/>
          <w:sz w:val="24"/>
          <w:szCs w:val="24"/>
        </w:rPr>
        <w:t>. D</w:t>
      </w:r>
      <w:r w:rsidRPr="00C1383A">
        <w:rPr>
          <w:rFonts w:asciiTheme="majorHAnsi" w:hAnsiTheme="majorHAnsi"/>
          <w:sz w:val="24"/>
          <w:szCs w:val="24"/>
        </w:rPr>
        <w:t xml:space="preserve">at emailadres is </w:t>
      </w:r>
      <w:r>
        <w:rPr>
          <w:rFonts w:asciiTheme="majorHAnsi" w:hAnsiTheme="majorHAnsi"/>
          <w:sz w:val="24"/>
          <w:szCs w:val="24"/>
        </w:rPr>
        <w:t xml:space="preserve">nu </w:t>
      </w:r>
      <w:r w:rsidRPr="00C1383A">
        <w:rPr>
          <w:rFonts w:asciiTheme="majorHAnsi" w:hAnsiTheme="majorHAnsi"/>
          <w:sz w:val="24"/>
          <w:szCs w:val="24"/>
        </w:rPr>
        <w:t>uitsluitend voor het stellen van vragen beschikbaar.</w:t>
      </w:r>
    </w:p>
    <w:p w14:paraId="5E9D3A33" w14:textId="6C5DE248" w:rsidR="007B1AA3" w:rsidRDefault="009D133C" w:rsidP="0040427E">
      <w:pPr>
        <w:rPr>
          <w:rFonts w:asciiTheme="majorHAnsi" w:hAnsiTheme="majorHAnsi"/>
          <w:sz w:val="24"/>
          <w:szCs w:val="24"/>
        </w:rPr>
      </w:pPr>
      <w:r>
        <w:rPr>
          <w:rFonts w:asciiTheme="majorHAnsi" w:hAnsiTheme="majorHAnsi"/>
          <w:sz w:val="24"/>
          <w:szCs w:val="24"/>
        </w:rPr>
        <w:t xml:space="preserve">De Kamer heeft inmiddels </w:t>
      </w:r>
      <w:r w:rsidR="007B1AA3">
        <w:rPr>
          <w:rFonts w:asciiTheme="majorHAnsi" w:hAnsiTheme="majorHAnsi"/>
          <w:sz w:val="24"/>
          <w:szCs w:val="24"/>
        </w:rPr>
        <w:t xml:space="preserve">in de plaats van het emailadres </w:t>
      </w:r>
      <w:r w:rsidR="00954448" w:rsidRPr="00C1383A">
        <w:rPr>
          <w:rFonts w:asciiTheme="majorHAnsi" w:hAnsiTheme="majorHAnsi"/>
          <w:sz w:val="24"/>
          <w:szCs w:val="24"/>
        </w:rPr>
        <w:t>een port</w:t>
      </w:r>
      <w:r w:rsidR="00954448">
        <w:rPr>
          <w:rFonts w:asciiTheme="majorHAnsi" w:hAnsiTheme="majorHAnsi"/>
          <w:sz w:val="24"/>
          <w:szCs w:val="24"/>
        </w:rPr>
        <w:t>a</w:t>
      </w:r>
      <w:r w:rsidR="00954448" w:rsidRPr="00C1383A">
        <w:rPr>
          <w:rFonts w:asciiTheme="majorHAnsi" w:hAnsiTheme="majorHAnsi"/>
          <w:sz w:val="24"/>
          <w:szCs w:val="24"/>
        </w:rPr>
        <w:t xml:space="preserve">al opengesteld voor het doen van de </w:t>
      </w:r>
      <w:r w:rsidR="00954448">
        <w:rPr>
          <w:rFonts w:asciiTheme="majorHAnsi" w:hAnsiTheme="majorHAnsi"/>
          <w:sz w:val="24"/>
          <w:szCs w:val="24"/>
        </w:rPr>
        <w:t>verplichte</w:t>
      </w:r>
      <w:r w:rsidR="00954448" w:rsidRPr="00C1383A">
        <w:rPr>
          <w:rFonts w:asciiTheme="majorHAnsi" w:hAnsiTheme="majorHAnsi"/>
          <w:sz w:val="24"/>
          <w:szCs w:val="24"/>
        </w:rPr>
        <w:t xml:space="preserve"> opgaven ter registratie van </w:t>
      </w:r>
      <w:r w:rsidR="00954448">
        <w:rPr>
          <w:rFonts w:asciiTheme="majorHAnsi" w:hAnsiTheme="majorHAnsi"/>
          <w:sz w:val="24"/>
          <w:szCs w:val="24"/>
        </w:rPr>
        <w:t>de uiteindelijk gerechtigden (</w:t>
      </w:r>
      <w:r w:rsidR="00954448" w:rsidRPr="00C1383A">
        <w:rPr>
          <w:rFonts w:asciiTheme="majorHAnsi" w:hAnsiTheme="majorHAnsi"/>
          <w:sz w:val="24"/>
          <w:szCs w:val="24"/>
        </w:rPr>
        <w:t>U</w:t>
      </w:r>
      <w:r w:rsidR="00954448">
        <w:rPr>
          <w:rFonts w:asciiTheme="majorHAnsi" w:hAnsiTheme="majorHAnsi"/>
          <w:sz w:val="24"/>
          <w:szCs w:val="24"/>
        </w:rPr>
        <w:t>ltimate Ben</w:t>
      </w:r>
      <w:r w:rsidR="007B1AA3">
        <w:rPr>
          <w:rFonts w:asciiTheme="majorHAnsi" w:hAnsiTheme="majorHAnsi"/>
          <w:sz w:val="24"/>
          <w:szCs w:val="24"/>
        </w:rPr>
        <w:t>e</w:t>
      </w:r>
      <w:r w:rsidR="00954448">
        <w:rPr>
          <w:rFonts w:asciiTheme="majorHAnsi" w:hAnsiTheme="majorHAnsi"/>
          <w:sz w:val="24"/>
          <w:szCs w:val="24"/>
        </w:rPr>
        <w:t xml:space="preserve">ficial Owner, UBO) </w:t>
      </w:r>
      <w:r w:rsidR="00954448" w:rsidRPr="00C1383A">
        <w:rPr>
          <w:rFonts w:asciiTheme="majorHAnsi" w:hAnsiTheme="majorHAnsi"/>
          <w:sz w:val="24"/>
          <w:szCs w:val="24"/>
        </w:rPr>
        <w:t>in het UBO</w:t>
      </w:r>
      <w:r w:rsidR="00954448">
        <w:rPr>
          <w:rFonts w:asciiTheme="majorHAnsi" w:hAnsiTheme="majorHAnsi"/>
          <w:sz w:val="24"/>
          <w:szCs w:val="24"/>
        </w:rPr>
        <w:t>-</w:t>
      </w:r>
      <w:r w:rsidR="00954448" w:rsidRPr="00C1383A">
        <w:rPr>
          <w:rFonts w:asciiTheme="majorHAnsi" w:hAnsiTheme="majorHAnsi"/>
          <w:sz w:val="24"/>
          <w:szCs w:val="24"/>
        </w:rPr>
        <w:t>register</w:t>
      </w:r>
      <w:r w:rsidR="00954448">
        <w:rPr>
          <w:rFonts w:asciiTheme="majorHAnsi" w:hAnsiTheme="majorHAnsi"/>
          <w:sz w:val="24"/>
          <w:szCs w:val="24"/>
        </w:rPr>
        <w:t xml:space="preserve"> o</w:t>
      </w:r>
      <w:r w:rsidR="00954448" w:rsidRPr="00F31840">
        <w:rPr>
          <w:rFonts w:asciiTheme="majorHAnsi" w:hAnsiTheme="majorHAnsi" w:cs="Calibri"/>
          <w:sz w:val="24"/>
          <w:szCs w:val="24"/>
        </w:rPr>
        <w:t>p de voorgeschreven wijze</w:t>
      </w:r>
      <w:r w:rsidR="00954448">
        <w:rPr>
          <w:rFonts w:asciiTheme="majorHAnsi" w:hAnsiTheme="majorHAnsi" w:cs="Calibri"/>
          <w:sz w:val="24"/>
          <w:szCs w:val="24"/>
        </w:rPr>
        <w:t>.</w:t>
      </w:r>
      <w:r w:rsidR="007B1AA3">
        <w:rPr>
          <w:rFonts w:asciiTheme="majorHAnsi" w:hAnsiTheme="majorHAnsi" w:cs="Calibri"/>
          <w:sz w:val="24"/>
          <w:szCs w:val="24"/>
        </w:rPr>
        <w:t xml:space="preserve"> </w:t>
      </w:r>
      <w:r w:rsidR="00954448">
        <w:rPr>
          <w:rFonts w:asciiTheme="majorHAnsi" w:hAnsiTheme="majorHAnsi" w:cs="Calibri"/>
          <w:sz w:val="24"/>
          <w:szCs w:val="24"/>
        </w:rPr>
        <w:t xml:space="preserve">Het portaal </w:t>
      </w:r>
      <w:r w:rsidR="00954448">
        <w:rPr>
          <w:rFonts w:asciiTheme="majorHAnsi" w:hAnsiTheme="majorHAnsi"/>
          <w:sz w:val="24"/>
          <w:szCs w:val="24"/>
        </w:rPr>
        <w:t>geeft op basis van de rechtsvorm begeleiding bij het opgeven van de gegevens, ook op het punt van de documenten die aangehecht moeten worden</w:t>
      </w:r>
      <w:r w:rsidR="00954448" w:rsidRPr="00022C59">
        <w:rPr>
          <w:rFonts w:asciiTheme="majorHAnsi" w:hAnsiTheme="majorHAnsi"/>
          <w:sz w:val="24"/>
          <w:szCs w:val="24"/>
        </w:rPr>
        <w:t xml:space="preserve">. </w:t>
      </w:r>
      <w:r w:rsidR="007B1AA3" w:rsidRPr="00022C59">
        <w:rPr>
          <w:rFonts w:asciiTheme="majorHAnsi" w:hAnsiTheme="majorHAnsi"/>
          <w:sz w:val="24"/>
          <w:szCs w:val="24"/>
        </w:rPr>
        <w:t>Het</w:t>
      </w:r>
      <w:r w:rsidR="00954448" w:rsidRPr="00022C59">
        <w:rPr>
          <w:rFonts w:asciiTheme="majorHAnsi" w:hAnsiTheme="majorHAnsi"/>
          <w:sz w:val="24"/>
          <w:szCs w:val="24"/>
        </w:rPr>
        <w:t xml:space="preserve"> port</w:t>
      </w:r>
      <w:r w:rsidR="007B1AA3" w:rsidRPr="00022C59">
        <w:rPr>
          <w:rFonts w:asciiTheme="majorHAnsi" w:hAnsiTheme="majorHAnsi"/>
          <w:sz w:val="24"/>
          <w:szCs w:val="24"/>
        </w:rPr>
        <w:t>a</w:t>
      </w:r>
      <w:r w:rsidR="00954448" w:rsidRPr="00022C59">
        <w:rPr>
          <w:rFonts w:asciiTheme="majorHAnsi" w:hAnsiTheme="majorHAnsi"/>
          <w:sz w:val="24"/>
          <w:szCs w:val="24"/>
        </w:rPr>
        <w:t xml:space="preserve">al is bereikbaar via de website van de Kamer en via de volgende link </w:t>
      </w:r>
      <w:hyperlink r:id="rId8" w:history="1">
        <w:r w:rsidR="00022C59" w:rsidRPr="00022C59">
          <w:rPr>
            <w:rStyle w:val="Hyperlink"/>
            <w:rFonts w:asciiTheme="majorHAnsi" w:hAnsiTheme="majorHAnsi"/>
            <w:sz w:val="24"/>
            <w:szCs w:val="24"/>
          </w:rPr>
          <w:t>http://ubo.curacao-chamber.cw</w:t>
        </w:r>
      </w:hyperlink>
      <w:r w:rsidR="008F18D9" w:rsidRPr="00022C59">
        <w:rPr>
          <w:rFonts w:asciiTheme="majorHAnsi" w:hAnsiTheme="majorHAnsi"/>
          <w:sz w:val="24"/>
          <w:szCs w:val="24"/>
        </w:rPr>
        <w:t xml:space="preserve"> en voldoet</w:t>
      </w:r>
      <w:r w:rsidR="008F18D9">
        <w:rPr>
          <w:rFonts w:asciiTheme="majorHAnsi" w:hAnsiTheme="majorHAnsi"/>
          <w:sz w:val="24"/>
          <w:szCs w:val="24"/>
        </w:rPr>
        <w:t xml:space="preserve"> aan de nodige veiligheidseisen, technisch en inhoudelijk.</w:t>
      </w:r>
    </w:p>
    <w:p w14:paraId="5E5D8CE1" w14:textId="0853B05D" w:rsidR="002A28B7" w:rsidRPr="007B1AA3" w:rsidRDefault="007B1AA3" w:rsidP="007B1AA3">
      <w:pPr>
        <w:pStyle w:val="Heading1"/>
        <w:spacing w:before="0" w:after="0"/>
        <w:rPr>
          <w:b/>
          <w:bCs/>
          <w:color w:val="auto"/>
          <w:sz w:val="24"/>
          <w:szCs w:val="24"/>
        </w:rPr>
      </w:pPr>
      <w:r w:rsidRPr="007B1AA3">
        <w:rPr>
          <w:b/>
          <w:bCs/>
          <w:color w:val="auto"/>
          <w:sz w:val="24"/>
          <w:szCs w:val="24"/>
        </w:rPr>
        <w:lastRenderedPageBreak/>
        <w:t xml:space="preserve">Hoe </w:t>
      </w:r>
      <w:r w:rsidR="008F18D9">
        <w:rPr>
          <w:b/>
          <w:bCs/>
          <w:color w:val="auto"/>
          <w:sz w:val="24"/>
          <w:szCs w:val="24"/>
        </w:rPr>
        <w:t xml:space="preserve">werkt </w:t>
      </w:r>
      <w:r w:rsidRPr="007B1AA3">
        <w:rPr>
          <w:b/>
          <w:bCs/>
          <w:color w:val="auto"/>
          <w:sz w:val="24"/>
          <w:szCs w:val="24"/>
        </w:rPr>
        <w:t>het UBO-portaal</w:t>
      </w:r>
    </w:p>
    <w:p w14:paraId="0621A5DE" w14:textId="67F20F23" w:rsidR="00D00CD5" w:rsidRPr="009D133C" w:rsidRDefault="00BC56CF" w:rsidP="00BC56CF">
      <w:pPr>
        <w:pStyle w:val="Heading1"/>
        <w:spacing w:before="0" w:after="0"/>
        <w:jc w:val="both"/>
        <w:rPr>
          <w:color w:val="auto"/>
          <w:sz w:val="24"/>
          <w:szCs w:val="24"/>
        </w:rPr>
      </w:pPr>
      <w:r w:rsidRPr="009D133C">
        <w:rPr>
          <w:color w:val="auto"/>
          <w:sz w:val="24"/>
          <w:szCs w:val="24"/>
        </w:rPr>
        <w:t xml:space="preserve">Het portaal vergt het bezit van een geldig emailadres om een opgave te kunnen doen. </w:t>
      </w:r>
      <w:r w:rsidR="00A667D5" w:rsidRPr="009D133C">
        <w:rPr>
          <w:color w:val="auto"/>
          <w:sz w:val="24"/>
          <w:szCs w:val="24"/>
        </w:rPr>
        <w:t xml:space="preserve"> Dat gaat langs de volgende stappen:</w:t>
      </w:r>
    </w:p>
    <w:p w14:paraId="5EE5801B" w14:textId="77777777" w:rsidR="00D00CD5" w:rsidRPr="009D133C" w:rsidRDefault="00D00CD5" w:rsidP="00A667D5">
      <w:pPr>
        <w:pStyle w:val="Heading1"/>
        <w:numPr>
          <w:ilvl w:val="0"/>
          <w:numId w:val="25"/>
        </w:numPr>
        <w:spacing w:before="0" w:after="0"/>
        <w:ind w:left="360"/>
        <w:jc w:val="both"/>
        <w:rPr>
          <w:color w:val="auto"/>
          <w:sz w:val="24"/>
          <w:szCs w:val="24"/>
        </w:rPr>
      </w:pPr>
      <w:r w:rsidRPr="009D133C">
        <w:rPr>
          <w:color w:val="auto"/>
          <w:sz w:val="24"/>
          <w:szCs w:val="24"/>
        </w:rPr>
        <w:t>Invoeren emailadres</w:t>
      </w:r>
    </w:p>
    <w:p w14:paraId="13007334" w14:textId="77777777" w:rsidR="00D00CD5" w:rsidRPr="009D133C" w:rsidRDefault="00D00CD5" w:rsidP="00A667D5">
      <w:pPr>
        <w:pStyle w:val="Heading1"/>
        <w:numPr>
          <w:ilvl w:val="0"/>
          <w:numId w:val="25"/>
        </w:numPr>
        <w:spacing w:before="0" w:after="0"/>
        <w:ind w:left="360"/>
        <w:jc w:val="both"/>
        <w:rPr>
          <w:color w:val="auto"/>
          <w:sz w:val="24"/>
          <w:szCs w:val="24"/>
        </w:rPr>
      </w:pPr>
      <w:r w:rsidRPr="009D133C">
        <w:rPr>
          <w:color w:val="auto"/>
          <w:sz w:val="24"/>
          <w:szCs w:val="24"/>
        </w:rPr>
        <w:t>Aanmaken account (je ontvangt een code op het emailadres)</w:t>
      </w:r>
    </w:p>
    <w:p w14:paraId="650B8737" w14:textId="77777777" w:rsidR="00D00CD5" w:rsidRPr="009D133C" w:rsidRDefault="00D00CD5" w:rsidP="00A667D5">
      <w:pPr>
        <w:pStyle w:val="Heading1"/>
        <w:numPr>
          <w:ilvl w:val="0"/>
          <w:numId w:val="25"/>
        </w:numPr>
        <w:spacing w:before="0" w:after="0"/>
        <w:ind w:left="360"/>
        <w:jc w:val="both"/>
        <w:rPr>
          <w:color w:val="auto"/>
          <w:sz w:val="24"/>
          <w:szCs w:val="24"/>
        </w:rPr>
      </w:pPr>
      <w:r w:rsidRPr="009D133C">
        <w:rPr>
          <w:color w:val="auto"/>
          <w:sz w:val="24"/>
          <w:szCs w:val="24"/>
        </w:rPr>
        <w:t>Voer in de code, en maak een wachtwoord;</w:t>
      </w:r>
    </w:p>
    <w:p w14:paraId="7D2EEBEE" w14:textId="77777777" w:rsidR="00D00CD5" w:rsidRPr="009D133C" w:rsidRDefault="00D00CD5" w:rsidP="00A667D5">
      <w:pPr>
        <w:pStyle w:val="Heading1"/>
        <w:numPr>
          <w:ilvl w:val="0"/>
          <w:numId w:val="25"/>
        </w:numPr>
        <w:spacing w:before="0" w:after="0"/>
        <w:ind w:left="360"/>
        <w:jc w:val="both"/>
        <w:rPr>
          <w:color w:val="auto"/>
          <w:sz w:val="24"/>
          <w:szCs w:val="24"/>
        </w:rPr>
      </w:pPr>
      <w:r w:rsidRPr="009D133C">
        <w:rPr>
          <w:color w:val="auto"/>
          <w:sz w:val="24"/>
          <w:szCs w:val="24"/>
        </w:rPr>
        <w:t>Begin met een nieuwe opgave;</w:t>
      </w:r>
    </w:p>
    <w:p w14:paraId="68686C52" w14:textId="0B3A1906" w:rsidR="00D00CD5" w:rsidRPr="009D133C" w:rsidRDefault="00D00CD5" w:rsidP="00A667D5">
      <w:pPr>
        <w:pStyle w:val="Heading1"/>
        <w:numPr>
          <w:ilvl w:val="0"/>
          <w:numId w:val="25"/>
        </w:numPr>
        <w:spacing w:before="0" w:after="0"/>
        <w:ind w:left="360"/>
        <w:jc w:val="both"/>
        <w:rPr>
          <w:color w:val="auto"/>
          <w:sz w:val="24"/>
          <w:szCs w:val="24"/>
        </w:rPr>
      </w:pPr>
      <w:r w:rsidRPr="009D133C">
        <w:rPr>
          <w:color w:val="auto"/>
          <w:sz w:val="24"/>
          <w:szCs w:val="24"/>
        </w:rPr>
        <w:t>Voer het handelsregisternummer van het lichaam (zoek);</w:t>
      </w:r>
    </w:p>
    <w:p w14:paraId="7EA2E514" w14:textId="77777777" w:rsidR="00D00CD5" w:rsidRPr="009D133C" w:rsidRDefault="00D00CD5" w:rsidP="00A667D5">
      <w:pPr>
        <w:pStyle w:val="Heading1"/>
        <w:numPr>
          <w:ilvl w:val="0"/>
          <w:numId w:val="25"/>
        </w:numPr>
        <w:spacing w:before="0" w:after="0"/>
        <w:ind w:left="360"/>
        <w:jc w:val="both"/>
        <w:rPr>
          <w:color w:val="auto"/>
          <w:sz w:val="24"/>
          <w:szCs w:val="24"/>
        </w:rPr>
      </w:pPr>
      <w:r w:rsidRPr="009D133C">
        <w:rPr>
          <w:color w:val="auto"/>
          <w:sz w:val="24"/>
          <w:szCs w:val="24"/>
        </w:rPr>
        <w:t>Voer het CRIB-nummer in;</w:t>
      </w:r>
    </w:p>
    <w:p w14:paraId="49B88CF5" w14:textId="77777777" w:rsidR="00D00CD5" w:rsidRPr="009D133C" w:rsidRDefault="00D00CD5" w:rsidP="00A667D5">
      <w:pPr>
        <w:pStyle w:val="Heading1"/>
        <w:numPr>
          <w:ilvl w:val="0"/>
          <w:numId w:val="25"/>
        </w:numPr>
        <w:spacing w:before="0" w:after="0"/>
        <w:ind w:left="360"/>
        <w:jc w:val="both"/>
        <w:rPr>
          <w:color w:val="auto"/>
          <w:sz w:val="24"/>
          <w:szCs w:val="24"/>
        </w:rPr>
      </w:pPr>
      <w:r w:rsidRPr="009D133C">
        <w:rPr>
          <w:color w:val="auto"/>
          <w:sz w:val="24"/>
          <w:szCs w:val="24"/>
        </w:rPr>
        <w:t>Ga verder met de invoering van de uiteindelijk gerechtigden.</w:t>
      </w:r>
    </w:p>
    <w:p w14:paraId="2A3FD0E3" w14:textId="43A89A56" w:rsidR="003D0CF3" w:rsidRPr="009D133C" w:rsidRDefault="003D0CF3" w:rsidP="00A667D5">
      <w:pPr>
        <w:pStyle w:val="ListParagraph"/>
        <w:numPr>
          <w:ilvl w:val="0"/>
          <w:numId w:val="25"/>
        </w:numPr>
        <w:ind w:left="360"/>
        <w:rPr>
          <w:rFonts w:asciiTheme="majorHAnsi" w:hAnsiTheme="majorHAnsi"/>
          <w:sz w:val="24"/>
          <w:szCs w:val="24"/>
        </w:rPr>
      </w:pPr>
      <w:r w:rsidRPr="009D133C">
        <w:rPr>
          <w:rFonts w:asciiTheme="majorHAnsi" w:hAnsiTheme="majorHAnsi"/>
          <w:sz w:val="24"/>
          <w:szCs w:val="24"/>
        </w:rPr>
        <w:t>Waar het noodzakelijk is om documenten te uploaden wordt dit zoveel als mogelijk voor de betreffende rechtsvorm aangegeven.</w:t>
      </w:r>
    </w:p>
    <w:p w14:paraId="25DD86A6" w14:textId="0173604D" w:rsidR="00BC56CF" w:rsidRPr="009D133C" w:rsidRDefault="00BC56CF" w:rsidP="00BC56CF">
      <w:pPr>
        <w:jc w:val="both"/>
        <w:rPr>
          <w:rFonts w:asciiTheme="majorHAnsi" w:hAnsiTheme="majorHAnsi"/>
          <w:sz w:val="24"/>
          <w:szCs w:val="24"/>
        </w:rPr>
      </w:pPr>
      <w:r w:rsidRPr="009D133C">
        <w:rPr>
          <w:rFonts w:asciiTheme="majorHAnsi" w:hAnsiTheme="majorHAnsi"/>
          <w:sz w:val="24"/>
          <w:szCs w:val="24"/>
        </w:rPr>
        <w:t>Na de opgave</w:t>
      </w:r>
      <w:r w:rsidR="003D0CF3" w:rsidRPr="009D133C">
        <w:rPr>
          <w:rFonts w:asciiTheme="majorHAnsi" w:hAnsiTheme="majorHAnsi"/>
          <w:sz w:val="24"/>
          <w:szCs w:val="24"/>
        </w:rPr>
        <w:t xml:space="preserve">, waarvan een bevestiging wordt verstuurd, </w:t>
      </w:r>
      <w:r w:rsidRPr="009D133C">
        <w:rPr>
          <w:rFonts w:asciiTheme="majorHAnsi" w:hAnsiTheme="majorHAnsi"/>
          <w:sz w:val="24"/>
          <w:szCs w:val="24"/>
        </w:rPr>
        <w:t>zal de Kamer in een volgende fase nagaan of deze</w:t>
      </w:r>
      <w:r w:rsidR="00D20172" w:rsidRPr="009D133C">
        <w:rPr>
          <w:rFonts w:asciiTheme="majorHAnsi" w:hAnsiTheme="majorHAnsi"/>
          <w:sz w:val="24"/>
          <w:szCs w:val="24"/>
        </w:rPr>
        <w:t xml:space="preserve"> opgaven</w:t>
      </w:r>
      <w:r w:rsidRPr="009D133C">
        <w:rPr>
          <w:rFonts w:asciiTheme="majorHAnsi" w:hAnsiTheme="majorHAnsi"/>
          <w:sz w:val="24"/>
          <w:szCs w:val="24"/>
        </w:rPr>
        <w:t xml:space="preserve"> wel aan de voorschriften voldoet, waarna </w:t>
      </w:r>
      <w:r w:rsidR="00D20172" w:rsidRPr="009D133C">
        <w:rPr>
          <w:rFonts w:asciiTheme="majorHAnsi" w:hAnsiTheme="majorHAnsi"/>
          <w:sz w:val="24"/>
          <w:szCs w:val="24"/>
        </w:rPr>
        <w:t xml:space="preserve">de nodige aanwijzingen of </w:t>
      </w:r>
      <w:r w:rsidRPr="009D133C">
        <w:rPr>
          <w:rFonts w:asciiTheme="majorHAnsi" w:hAnsiTheme="majorHAnsi"/>
          <w:sz w:val="24"/>
          <w:szCs w:val="24"/>
        </w:rPr>
        <w:t>een bevestiging van de registratie zal volgen.</w:t>
      </w:r>
    </w:p>
    <w:p w14:paraId="0B65E7B8" w14:textId="77777777" w:rsidR="00D00CD5" w:rsidRDefault="00D00CD5" w:rsidP="00920C8E">
      <w:pPr>
        <w:spacing w:after="0"/>
        <w:rPr>
          <w:rFonts w:asciiTheme="majorHAnsi" w:hAnsiTheme="majorHAnsi"/>
          <w:b/>
          <w:bCs/>
          <w:sz w:val="24"/>
          <w:szCs w:val="24"/>
        </w:rPr>
      </w:pPr>
    </w:p>
    <w:p w14:paraId="38D0D301" w14:textId="0F214BCE" w:rsidR="00920C8E" w:rsidRPr="00C1383A" w:rsidRDefault="00920C8E" w:rsidP="00920C8E">
      <w:pPr>
        <w:spacing w:after="0"/>
        <w:rPr>
          <w:rFonts w:asciiTheme="majorHAnsi" w:hAnsiTheme="majorHAnsi"/>
          <w:b/>
          <w:bCs/>
          <w:sz w:val="24"/>
          <w:szCs w:val="24"/>
        </w:rPr>
      </w:pPr>
      <w:r w:rsidRPr="00C1383A">
        <w:rPr>
          <w:rFonts w:asciiTheme="majorHAnsi" w:hAnsiTheme="majorHAnsi"/>
          <w:b/>
          <w:bCs/>
          <w:sz w:val="24"/>
          <w:szCs w:val="24"/>
        </w:rPr>
        <w:t>Welke entiteiten?</w:t>
      </w:r>
    </w:p>
    <w:p w14:paraId="3E3B9F2F" w14:textId="77777777" w:rsidR="00920C8E" w:rsidRPr="00BE45CF" w:rsidRDefault="00920C8E" w:rsidP="00920C8E">
      <w:pPr>
        <w:rPr>
          <w:rFonts w:asciiTheme="majorHAnsi" w:hAnsiTheme="majorHAnsi"/>
          <w:sz w:val="24"/>
          <w:szCs w:val="24"/>
        </w:rPr>
      </w:pPr>
      <w:r w:rsidRPr="00BE45CF">
        <w:rPr>
          <w:rFonts w:asciiTheme="majorHAnsi" w:hAnsiTheme="majorHAnsi"/>
          <w:sz w:val="24"/>
          <w:szCs w:val="24"/>
        </w:rPr>
        <w:t xml:space="preserve">Er zijn, behalve een regeling voor beursgenoteerde bedrijven, geen uitzonderingen. </w:t>
      </w:r>
    </w:p>
    <w:p w14:paraId="1056B567" w14:textId="4DFCD916" w:rsidR="00920C8E" w:rsidRPr="00C1383A" w:rsidRDefault="00920C8E" w:rsidP="00123C07">
      <w:pPr>
        <w:spacing w:after="0"/>
        <w:jc w:val="both"/>
        <w:rPr>
          <w:rFonts w:asciiTheme="majorHAnsi" w:hAnsiTheme="majorHAnsi"/>
          <w:sz w:val="24"/>
          <w:szCs w:val="24"/>
        </w:rPr>
      </w:pPr>
      <w:r w:rsidRPr="00C1383A">
        <w:rPr>
          <w:rFonts w:asciiTheme="majorHAnsi" w:hAnsiTheme="majorHAnsi"/>
          <w:sz w:val="24"/>
          <w:szCs w:val="24"/>
        </w:rPr>
        <w:t xml:space="preserve">De volgende lichamen </w:t>
      </w:r>
      <w:r>
        <w:rPr>
          <w:rFonts w:asciiTheme="majorHAnsi" w:hAnsiTheme="majorHAnsi"/>
          <w:sz w:val="24"/>
          <w:szCs w:val="24"/>
        </w:rPr>
        <w:t>(</w:t>
      </w:r>
      <w:r w:rsidRPr="00920C8E">
        <w:rPr>
          <w:rFonts w:asciiTheme="majorHAnsi" w:hAnsiTheme="majorHAnsi"/>
          <w:b/>
          <w:bCs/>
          <w:sz w:val="24"/>
          <w:szCs w:val="24"/>
        </w:rPr>
        <w:t xml:space="preserve">geen </w:t>
      </w:r>
      <w:r>
        <w:rPr>
          <w:rFonts w:asciiTheme="majorHAnsi" w:hAnsiTheme="majorHAnsi"/>
          <w:b/>
          <w:bCs/>
          <w:sz w:val="24"/>
          <w:szCs w:val="24"/>
        </w:rPr>
        <w:t>éé</w:t>
      </w:r>
      <w:r w:rsidRPr="00920C8E">
        <w:rPr>
          <w:rFonts w:asciiTheme="majorHAnsi" w:hAnsiTheme="majorHAnsi"/>
          <w:b/>
          <w:bCs/>
          <w:sz w:val="24"/>
          <w:szCs w:val="24"/>
        </w:rPr>
        <w:t>nmanszaken</w:t>
      </w:r>
      <w:r>
        <w:rPr>
          <w:rFonts w:asciiTheme="majorHAnsi" w:hAnsiTheme="majorHAnsi"/>
          <w:sz w:val="24"/>
          <w:szCs w:val="24"/>
        </w:rPr>
        <w:t xml:space="preserve">) </w:t>
      </w:r>
      <w:r w:rsidRPr="00C1383A">
        <w:rPr>
          <w:rFonts w:asciiTheme="majorHAnsi" w:hAnsiTheme="majorHAnsi"/>
          <w:sz w:val="24"/>
          <w:szCs w:val="24"/>
        </w:rPr>
        <w:t>zijn verplicht om informatie over de uiteindelijk gerechtigden te verstrekken:</w:t>
      </w:r>
    </w:p>
    <w:p w14:paraId="6979F666" w14:textId="77777777" w:rsidR="00920C8E" w:rsidRPr="00C1383A" w:rsidRDefault="00920C8E" w:rsidP="00123C07">
      <w:pPr>
        <w:pStyle w:val="ListParagraph"/>
        <w:numPr>
          <w:ilvl w:val="0"/>
          <w:numId w:val="7"/>
        </w:numPr>
        <w:ind w:left="360" w:hanging="360"/>
        <w:jc w:val="both"/>
        <w:rPr>
          <w:rFonts w:asciiTheme="majorHAnsi" w:hAnsiTheme="majorHAnsi"/>
          <w:sz w:val="24"/>
          <w:szCs w:val="24"/>
        </w:rPr>
      </w:pPr>
      <w:r w:rsidRPr="00C1383A">
        <w:rPr>
          <w:rFonts w:asciiTheme="majorHAnsi" w:hAnsiTheme="majorHAnsi"/>
          <w:sz w:val="24"/>
          <w:szCs w:val="24"/>
        </w:rPr>
        <w:t xml:space="preserve">De stichting, de stichting particulier fonds, de vereniging, de coöperatie, de onderlinge waarborgmaatschappij, de naamloze vennootschap en de besloten vennootschap; </w:t>
      </w:r>
    </w:p>
    <w:p w14:paraId="06EE99EC" w14:textId="77777777" w:rsidR="00920C8E" w:rsidRPr="00C1383A" w:rsidRDefault="00920C8E" w:rsidP="00123C07">
      <w:pPr>
        <w:pStyle w:val="ListParagraph"/>
        <w:numPr>
          <w:ilvl w:val="0"/>
          <w:numId w:val="7"/>
        </w:numPr>
        <w:ind w:left="360" w:hanging="360"/>
        <w:jc w:val="both"/>
        <w:rPr>
          <w:rFonts w:asciiTheme="majorHAnsi" w:hAnsiTheme="majorHAnsi"/>
          <w:sz w:val="24"/>
          <w:szCs w:val="24"/>
        </w:rPr>
      </w:pPr>
      <w:r w:rsidRPr="00C1383A">
        <w:rPr>
          <w:rFonts w:asciiTheme="majorHAnsi" w:hAnsiTheme="majorHAnsi"/>
          <w:sz w:val="24"/>
          <w:szCs w:val="24"/>
        </w:rPr>
        <w:t>Een vennootschap welke is vormgegeven middels een overeenkomst tot samenwerking voor gemeenschappelijke rekening van twee of meer personen, de vennoten, welke samenwerking is gericht op het behalen van vermogensrechtelijk voordeel ten behoeve van alle vennoten door middel van inbreng door ieder van de vennoten;</w:t>
      </w:r>
    </w:p>
    <w:p w14:paraId="0A93B7AC" w14:textId="77777777" w:rsidR="00920C8E" w:rsidRPr="00C1383A" w:rsidRDefault="00920C8E" w:rsidP="00123C07">
      <w:pPr>
        <w:pStyle w:val="ListParagraph"/>
        <w:numPr>
          <w:ilvl w:val="0"/>
          <w:numId w:val="7"/>
        </w:numPr>
        <w:ind w:left="360" w:hanging="360"/>
        <w:jc w:val="both"/>
        <w:rPr>
          <w:rFonts w:asciiTheme="majorHAnsi" w:hAnsiTheme="majorHAnsi"/>
          <w:sz w:val="24"/>
          <w:szCs w:val="24"/>
        </w:rPr>
      </w:pPr>
      <w:r w:rsidRPr="00C1383A">
        <w:rPr>
          <w:rFonts w:asciiTheme="majorHAnsi" w:hAnsiTheme="majorHAnsi"/>
          <w:sz w:val="24"/>
          <w:szCs w:val="24"/>
        </w:rPr>
        <w:t>Trust, of</w:t>
      </w:r>
    </w:p>
    <w:p w14:paraId="5FF9F928" w14:textId="77777777" w:rsidR="00920C8E" w:rsidRPr="00C1383A" w:rsidRDefault="00920C8E" w:rsidP="00123C07">
      <w:pPr>
        <w:pStyle w:val="ListParagraph"/>
        <w:numPr>
          <w:ilvl w:val="0"/>
          <w:numId w:val="7"/>
        </w:numPr>
        <w:ind w:left="360" w:hanging="360"/>
        <w:jc w:val="both"/>
        <w:rPr>
          <w:rFonts w:asciiTheme="majorHAnsi" w:hAnsiTheme="majorHAnsi"/>
          <w:sz w:val="24"/>
          <w:szCs w:val="24"/>
        </w:rPr>
      </w:pPr>
      <w:r w:rsidRPr="00C1383A">
        <w:rPr>
          <w:rFonts w:asciiTheme="majorHAnsi" w:hAnsiTheme="majorHAnsi"/>
          <w:sz w:val="24"/>
          <w:szCs w:val="24"/>
        </w:rPr>
        <w:t>Soortgelijke juridische constructie dan wel een naar buitenlands recht met één van de voorgaand genoemde rechtsvormen vergelijkbare juridische entiteiten</w:t>
      </w:r>
      <w:r w:rsidRPr="00C1383A">
        <w:rPr>
          <w:rFonts w:asciiTheme="majorHAnsi" w:hAnsiTheme="majorHAnsi" w:cs="Calibri"/>
          <w:sz w:val="24"/>
          <w:szCs w:val="24"/>
        </w:rPr>
        <w:t xml:space="preserve"> dan wel een naar buitenlands recht met één van de voorgaand genoemde rechtsvormen vergelijkbare juridische entiteiten. </w:t>
      </w:r>
    </w:p>
    <w:p w14:paraId="13D84BCD" w14:textId="77777777" w:rsidR="00920C8E" w:rsidRDefault="00920C8E" w:rsidP="00123C07">
      <w:pPr>
        <w:pStyle w:val="ListParagraph"/>
        <w:ind w:left="360"/>
        <w:jc w:val="both"/>
        <w:rPr>
          <w:rFonts w:asciiTheme="majorHAnsi" w:hAnsiTheme="majorHAnsi"/>
          <w:sz w:val="24"/>
          <w:szCs w:val="24"/>
        </w:rPr>
      </w:pPr>
      <w:r w:rsidRPr="00C1383A">
        <w:rPr>
          <w:rFonts w:asciiTheme="majorHAnsi" w:hAnsiTheme="majorHAnsi" w:cs="Calibri"/>
          <w:sz w:val="24"/>
          <w:szCs w:val="24"/>
        </w:rPr>
        <w:t>Dit laatste houdt in dat ook alle o</w:t>
      </w:r>
      <w:r w:rsidRPr="00C1383A">
        <w:rPr>
          <w:rFonts w:asciiTheme="majorHAnsi" w:hAnsiTheme="majorHAnsi"/>
          <w:sz w:val="24"/>
          <w:szCs w:val="24"/>
        </w:rPr>
        <w:t>p Curaçao gevestigde hoofd- en nevenvestigingen van entiteiten naar buitenlands recht verplicht zijn om de UBO informatie ter registratie op te geven.</w:t>
      </w:r>
    </w:p>
    <w:p w14:paraId="34F4FD9E" w14:textId="29392247" w:rsidR="00057C8F" w:rsidRPr="005F5D95" w:rsidRDefault="00920C8E" w:rsidP="005F5D95">
      <w:pPr>
        <w:pStyle w:val="Heading1"/>
        <w:rPr>
          <w:b/>
          <w:bCs/>
          <w:color w:val="auto"/>
          <w:sz w:val="24"/>
          <w:szCs w:val="24"/>
        </w:rPr>
      </w:pPr>
      <w:r w:rsidRPr="005F5D95">
        <w:rPr>
          <w:b/>
          <w:bCs/>
          <w:color w:val="auto"/>
          <w:sz w:val="24"/>
          <w:szCs w:val="24"/>
        </w:rPr>
        <w:t xml:space="preserve"> W</w:t>
      </w:r>
      <w:r w:rsidR="00057C8F" w:rsidRPr="005F5D95">
        <w:rPr>
          <w:b/>
          <w:bCs/>
          <w:color w:val="auto"/>
          <w:sz w:val="24"/>
          <w:szCs w:val="24"/>
        </w:rPr>
        <w:t>ie kwalificeert als een UBO?</w:t>
      </w:r>
    </w:p>
    <w:p w14:paraId="35B26D51" w14:textId="77777777" w:rsidR="00057C8F" w:rsidRPr="005F5D95" w:rsidRDefault="00057C8F" w:rsidP="005F5D95">
      <w:pPr>
        <w:rPr>
          <w:sz w:val="24"/>
          <w:szCs w:val="24"/>
        </w:rPr>
      </w:pPr>
      <w:r w:rsidRPr="005F5D95">
        <w:rPr>
          <w:sz w:val="24"/>
          <w:szCs w:val="24"/>
        </w:rPr>
        <w:t>Uiteindelijk gerechtigden van lichamen worden als volgt bepaald:</w:t>
      </w:r>
    </w:p>
    <w:p w14:paraId="19188AE1" w14:textId="77777777" w:rsidR="00057C8F" w:rsidRPr="005F5D95" w:rsidRDefault="00057C8F" w:rsidP="005F5D95">
      <w:pPr>
        <w:spacing w:after="0"/>
        <w:rPr>
          <w:b/>
          <w:bCs/>
          <w:sz w:val="24"/>
          <w:szCs w:val="24"/>
        </w:rPr>
      </w:pPr>
      <w:r w:rsidRPr="005F5D95">
        <w:rPr>
          <w:b/>
          <w:bCs/>
          <w:sz w:val="24"/>
          <w:szCs w:val="24"/>
        </w:rPr>
        <w:t>Algemeen:</w:t>
      </w:r>
    </w:p>
    <w:p w14:paraId="5D949408" w14:textId="77777777" w:rsidR="00057C8F" w:rsidRPr="005F5D95" w:rsidRDefault="00057C8F" w:rsidP="005F5D95">
      <w:pPr>
        <w:pStyle w:val="ListParagraph"/>
        <w:numPr>
          <w:ilvl w:val="0"/>
          <w:numId w:val="8"/>
        </w:numPr>
        <w:spacing w:after="0"/>
        <w:rPr>
          <w:sz w:val="24"/>
          <w:szCs w:val="24"/>
        </w:rPr>
      </w:pPr>
      <w:r w:rsidRPr="005F5D95">
        <w:rPr>
          <w:sz w:val="24"/>
          <w:szCs w:val="24"/>
        </w:rPr>
        <w:t>De persoon die direct of indirect 25% of meer eigendom of stemrecht in een lichaam heeft.</w:t>
      </w:r>
    </w:p>
    <w:p w14:paraId="27FFDCE3" w14:textId="77777777" w:rsidR="00057C8F" w:rsidRPr="005F5D95" w:rsidRDefault="00057C8F" w:rsidP="005F5D95">
      <w:pPr>
        <w:pStyle w:val="ListParagraph"/>
        <w:numPr>
          <w:ilvl w:val="0"/>
          <w:numId w:val="8"/>
        </w:numPr>
        <w:spacing w:after="0"/>
        <w:rPr>
          <w:sz w:val="24"/>
          <w:szCs w:val="24"/>
        </w:rPr>
      </w:pPr>
      <w:r w:rsidRPr="005F5D95">
        <w:rPr>
          <w:sz w:val="24"/>
          <w:szCs w:val="24"/>
        </w:rPr>
        <w:lastRenderedPageBreak/>
        <w:t>Als er geen persoon is die voldoet aan a, of als er twijfel is, de persoon voor wiens rekening de transactie wordt gedaan.</w:t>
      </w:r>
    </w:p>
    <w:p w14:paraId="1DC9AC1C" w14:textId="77777777" w:rsidR="00057C8F" w:rsidRPr="005F5D95" w:rsidRDefault="00057C8F" w:rsidP="005F5D95">
      <w:pPr>
        <w:pStyle w:val="ListParagraph"/>
        <w:numPr>
          <w:ilvl w:val="0"/>
          <w:numId w:val="8"/>
        </w:numPr>
        <w:spacing w:after="0"/>
        <w:rPr>
          <w:sz w:val="24"/>
          <w:szCs w:val="24"/>
        </w:rPr>
      </w:pPr>
      <w:r w:rsidRPr="005F5D95">
        <w:rPr>
          <w:sz w:val="24"/>
          <w:szCs w:val="24"/>
        </w:rPr>
        <w:t>Als er geen persoon is die voldoet aan a of b, of als er twijfel is, de personen in het hoger leidinggevend personeel die beslissingen kunnen nemen, of anders de bestuursleden.</w:t>
      </w:r>
    </w:p>
    <w:p w14:paraId="71946670" w14:textId="77777777" w:rsidR="00920C8E" w:rsidRPr="005F5D95" w:rsidRDefault="00920C8E" w:rsidP="005F5D95">
      <w:pPr>
        <w:spacing w:after="0"/>
        <w:rPr>
          <w:b/>
          <w:bCs/>
          <w:sz w:val="24"/>
          <w:szCs w:val="24"/>
        </w:rPr>
      </w:pPr>
    </w:p>
    <w:p w14:paraId="5CDC7820" w14:textId="71A8BE2B" w:rsidR="00057C8F" w:rsidRPr="005F5D95" w:rsidRDefault="00057C8F" w:rsidP="005F5D95">
      <w:pPr>
        <w:spacing w:after="0"/>
        <w:rPr>
          <w:b/>
          <w:bCs/>
          <w:sz w:val="24"/>
          <w:szCs w:val="24"/>
        </w:rPr>
      </w:pPr>
      <w:r w:rsidRPr="005F5D95">
        <w:rPr>
          <w:b/>
          <w:bCs/>
          <w:sz w:val="24"/>
          <w:szCs w:val="24"/>
        </w:rPr>
        <w:t>Besloten vennootschappen en naamloze vennootschappen:</w:t>
      </w:r>
    </w:p>
    <w:p w14:paraId="10F9482F" w14:textId="77777777" w:rsidR="00057C8F" w:rsidRPr="005F5D95" w:rsidRDefault="00057C8F" w:rsidP="005F5D95">
      <w:pPr>
        <w:pStyle w:val="ListParagraph"/>
        <w:numPr>
          <w:ilvl w:val="0"/>
          <w:numId w:val="9"/>
        </w:numPr>
        <w:spacing w:after="0"/>
        <w:rPr>
          <w:sz w:val="24"/>
          <w:szCs w:val="24"/>
        </w:rPr>
      </w:pPr>
      <w:r w:rsidRPr="005F5D95">
        <w:rPr>
          <w:sz w:val="24"/>
          <w:szCs w:val="24"/>
        </w:rPr>
        <w:t>Personen die 25% of meer van de aandelen, stemrechten of eigendomsbelangen hebben.</w:t>
      </w:r>
    </w:p>
    <w:p w14:paraId="4652DD69" w14:textId="77777777" w:rsidR="00057C8F" w:rsidRPr="005F5D95" w:rsidRDefault="00057C8F" w:rsidP="005F5D95">
      <w:pPr>
        <w:pStyle w:val="ListParagraph"/>
        <w:numPr>
          <w:ilvl w:val="0"/>
          <w:numId w:val="9"/>
        </w:numPr>
        <w:spacing w:after="0"/>
        <w:rPr>
          <w:sz w:val="24"/>
          <w:szCs w:val="24"/>
        </w:rPr>
      </w:pPr>
      <w:r w:rsidRPr="005F5D95">
        <w:rPr>
          <w:sz w:val="24"/>
          <w:szCs w:val="24"/>
        </w:rPr>
        <w:t>Als er geen persoon is die voldoet aan a, of als er twijfel is, de personen in het hoger leidinggevend personeel, of anders de bestuursleden.</w:t>
      </w:r>
    </w:p>
    <w:p w14:paraId="7404D0AB" w14:textId="77777777" w:rsidR="00057C8F" w:rsidRPr="005F5D95" w:rsidRDefault="00057C8F" w:rsidP="005F5D95">
      <w:pPr>
        <w:spacing w:after="0"/>
        <w:rPr>
          <w:sz w:val="24"/>
          <w:szCs w:val="24"/>
        </w:rPr>
      </w:pPr>
      <w:r w:rsidRPr="005F5D95">
        <w:rPr>
          <w:sz w:val="24"/>
          <w:szCs w:val="24"/>
        </w:rPr>
        <w:t xml:space="preserve">Bovenstaande is van overeenkomstige toepassing op andere juridische lichamen vergelijkbaar met een besloten vennootschap of een naamloze vennootschap of vennootschappen </w:t>
      </w:r>
      <w:r w:rsidRPr="005F5D95">
        <w:rPr>
          <w:i/>
          <w:iCs/>
          <w:sz w:val="24"/>
          <w:szCs w:val="24"/>
        </w:rPr>
        <w:t>naar buitenlands recht opgericht die met deze rechtsvormen vergelijkbaar</w:t>
      </w:r>
      <w:r w:rsidRPr="005F5D95">
        <w:rPr>
          <w:sz w:val="24"/>
          <w:szCs w:val="24"/>
        </w:rPr>
        <w:t xml:space="preserve"> zijn.</w:t>
      </w:r>
    </w:p>
    <w:p w14:paraId="163533AA" w14:textId="77777777" w:rsidR="00497C5C" w:rsidRPr="005F5D95" w:rsidRDefault="00497C5C" w:rsidP="005F5D95">
      <w:pPr>
        <w:spacing w:after="0"/>
        <w:rPr>
          <w:b/>
          <w:bCs/>
          <w:sz w:val="24"/>
          <w:szCs w:val="24"/>
        </w:rPr>
      </w:pPr>
    </w:p>
    <w:p w14:paraId="77C633EB" w14:textId="5F3F3084" w:rsidR="00057C8F" w:rsidRPr="005F5D95" w:rsidRDefault="00057C8F" w:rsidP="005F5D95">
      <w:pPr>
        <w:spacing w:after="0"/>
        <w:rPr>
          <w:b/>
          <w:bCs/>
          <w:sz w:val="24"/>
          <w:szCs w:val="24"/>
        </w:rPr>
      </w:pPr>
      <w:r w:rsidRPr="005F5D95">
        <w:rPr>
          <w:b/>
          <w:bCs/>
          <w:sz w:val="24"/>
          <w:szCs w:val="24"/>
        </w:rPr>
        <w:t>Vennootschappen:</w:t>
      </w:r>
    </w:p>
    <w:p w14:paraId="09C2ABB2" w14:textId="1B5A43B5" w:rsidR="00057C8F" w:rsidRPr="005F5D95" w:rsidRDefault="00057C8F" w:rsidP="005F5D95">
      <w:pPr>
        <w:pStyle w:val="ListParagraph"/>
        <w:numPr>
          <w:ilvl w:val="0"/>
          <w:numId w:val="10"/>
        </w:numPr>
        <w:spacing w:after="0"/>
        <w:rPr>
          <w:sz w:val="24"/>
          <w:szCs w:val="24"/>
        </w:rPr>
      </w:pPr>
      <w:r w:rsidRPr="005F5D95">
        <w:rPr>
          <w:sz w:val="24"/>
          <w:szCs w:val="24"/>
        </w:rPr>
        <w:t xml:space="preserve">Personen </w:t>
      </w:r>
      <w:r w:rsidR="006E7CB8">
        <w:rPr>
          <w:sz w:val="24"/>
          <w:szCs w:val="24"/>
        </w:rPr>
        <w:t xml:space="preserve">die middellijk of onmiddellijk recht hebben op een aandeel </w:t>
      </w:r>
      <w:r w:rsidRPr="005F5D95">
        <w:rPr>
          <w:sz w:val="24"/>
          <w:szCs w:val="24"/>
        </w:rPr>
        <w:t xml:space="preserve">of stemmen hebben, of zeggenschap </w:t>
      </w:r>
      <w:r w:rsidR="002D1DC2">
        <w:rPr>
          <w:sz w:val="24"/>
          <w:szCs w:val="24"/>
        </w:rPr>
        <w:t xml:space="preserve">kunnen uitoefenen </w:t>
      </w:r>
      <w:r w:rsidRPr="005F5D95">
        <w:rPr>
          <w:sz w:val="24"/>
          <w:szCs w:val="24"/>
        </w:rPr>
        <w:t>over de vennootschap.</w:t>
      </w:r>
    </w:p>
    <w:p w14:paraId="0C417FBE" w14:textId="0FB50D34" w:rsidR="00057C8F" w:rsidRPr="006E7CB8" w:rsidRDefault="00057C8F" w:rsidP="005F5D95">
      <w:pPr>
        <w:pStyle w:val="ListParagraph"/>
        <w:numPr>
          <w:ilvl w:val="0"/>
          <w:numId w:val="10"/>
        </w:numPr>
        <w:spacing w:after="0"/>
        <w:rPr>
          <w:sz w:val="24"/>
          <w:szCs w:val="24"/>
        </w:rPr>
      </w:pPr>
      <w:r w:rsidRPr="006E7CB8">
        <w:rPr>
          <w:sz w:val="24"/>
          <w:szCs w:val="24"/>
        </w:rPr>
        <w:t>Als er geen persoon is die voldoet aan a</w:t>
      </w:r>
      <w:r w:rsidR="006E7CB8" w:rsidRPr="006E7CB8">
        <w:rPr>
          <w:sz w:val="24"/>
          <w:szCs w:val="24"/>
        </w:rPr>
        <w:t xml:space="preserve"> is achterhaald</w:t>
      </w:r>
      <w:r w:rsidRPr="006E7CB8">
        <w:rPr>
          <w:sz w:val="24"/>
          <w:szCs w:val="24"/>
        </w:rPr>
        <w:t xml:space="preserve">, of als er twijfel is, </w:t>
      </w:r>
      <w:r w:rsidR="006E7CB8" w:rsidRPr="006E7CB8">
        <w:rPr>
          <w:sz w:val="24"/>
          <w:szCs w:val="24"/>
        </w:rPr>
        <w:t>de persoon d</w:t>
      </w:r>
      <w:r w:rsidR="007A2DE3">
        <w:rPr>
          <w:sz w:val="24"/>
          <w:szCs w:val="24"/>
        </w:rPr>
        <w:t>i</w:t>
      </w:r>
      <w:r w:rsidR="006E7CB8" w:rsidRPr="006E7CB8">
        <w:rPr>
          <w:sz w:val="24"/>
          <w:szCs w:val="24"/>
        </w:rPr>
        <w:t xml:space="preserve">e uiteindelijke eigenaar is of uiteindelijke zeggenschap heeft, dan wel de natuurlijke persoon is voor wiens rekening een transactie wordt verricht, de natuurlijke personen die behoren tot het hoger leidinggevend personeel is dat bindende beslissingen kan nemen. Indien er geen hoger leidinggevend personeel dat bindende beslissingen kan nemen, is, de natuurlijke persoon die bestuurslid of directielid is. </w:t>
      </w:r>
    </w:p>
    <w:p w14:paraId="47CE58B7" w14:textId="2D1BB268" w:rsidR="00057C8F" w:rsidRPr="005F5D95" w:rsidRDefault="00057C8F" w:rsidP="005F5D95">
      <w:pPr>
        <w:spacing w:after="0"/>
        <w:rPr>
          <w:sz w:val="24"/>
          <w:szCs w:val="24"/>
        </w:rPr>
      </w:pPr>
      <w:r w:rsidRPr="005F5D95">
        <w:rPr>
          <w:sz w:val="24"/>
          <w:szCs w:val="24"/>
        </w:rPr>
        <w:t>Bovenstaande is van overeenkomstige toepassing op onderlinge waarborgmaatschappijen, coöperaties, rederijen, commanditaire vennootschappen, open commanditaire vennootschappen, openbare vennootschappen, stille vennootschappen, fondsen voor gemene rekening of vennootschappen naar buitenlands recht opgericht die met deze rechtsvormen vergelijkbaar zijn, alsmede op andere juridische lichamen vergelijkbaar met een vennootschap.</w:t>
      </w:r>
    </w:p>
    <w:p w14:paraId="6F3B6F6E" w14:textId="77777777" w:rsidR="00123C07" w:rsidRPr="005F5D95" w:rsidRDefault="00123C07" w:rsidP="005F5D95">
      <w:pPr>
        <w:spacing w:after="0"/>
        <w:rPr>
          <w:b/>
          <w:bCs/>
          <w:sz w:val="24"/>
          <w:szCs w:val="24"/>
        </w:rPr>
      </w:pPr>
    </w:p>
    <w:p w14:paraId="522E4344" w14:textId="3D1F2782" w:rsidR="00057C8F" w:rsidRPr="005F5D95" w:rsidRDefault="00057C8F" w:rsidP="005F5D95">
      <w:pPr>
        <w:spacing w:after="0"/>
        <w:rPr>
          <w:b/>
          <w:bCs/>
          <w:sz w:val="24"/>
          <w:szCs w:val="24"/>
        </w:rPr>
      </w:pPr>
      <w:r w:rsidRPr="005F5D95">
        <w:rPr>
          <w:b/>
          <w:bCs/>
          <w:sz w:val="24"/>
          <w:szCs w:val="24"/>
        </w:rPr>
        <w:t>Verenigingen:</w:t>
      </w:r>
    </w:p>
    <w:p w14:paraId="53D758ED" w14:textId="77777777" w:rsidR="00057C8F" w:rsidRPr="005F5D95" w:rsidRDefault="00057C8F" w:rsidP="005F5D95">
      <w:pPr>
        <w:pStyle w:val="ListParagraph"/>
        <w:numPr>
          <w:ilvl w:val="0"/>
          <w:numId w:val="11"/>
        </w:numPr>
        <w:spacing w:after="0"/>
        <w:rPr>
          <w:sz w:val="24"/>
          <w:szCs w:val="24"/>
        </w:rPr>
      </w:pPr>
      <w:r w:rsidRPr="005F5D95">
        <w:rPr>
          <w:sz w:val="24"/>
          <w:szCs w:val="24"/>
        </w:rPr>
        <w:t>Personen die 25% of meer van de stemmen hebben of zeggenschap over de vereniging.</w:t>
      </w:r>
    </w:p>
    <w:p w14:paraId="077B520B" w14:textId="77777777" w:rsidR="00057C8F" w:rsidRPr="005F5D95" w:rsidRDefault="00057C8F" w:rsidP="005F5D95">
      <w:pPr>
        <w:pStyle w:val="ListParagraph"/>
        <w:numPr>
          <w:ilvl w:val="0"/>
          <w:numId w:val="11"/>
        </w:numPr>
        <w:spacing w:after="0"/>
        <w:rPr>
          <w:sz w:val="24"/>
          <w:szCs w:val="24"/>
        </w:rPr>
      </w:pPr>
      <w:r w:rsidRPr="005F5D95">
        <w:rPr>
          <w:sz w:val="24"/>
          <w:szCs w:val="24"/>
        </w:rPr>
        <w:t>Als er geen persoon is die voldoet aan a, of als er twijfel is, de personen in het hoger leidinggevend personeel, of anders de bestuursleden.</w:t>
      </w:r>
    </w:p>
    <w:p w14:paraId="21073096" w14:textId="57552419" w:rsidR="00057C8F" w:rsidRPr="005F5D95" w:rsidRDefault="00057C8F" w:rsidP="005F5D95">
      <w:pPr>
        <w:spacing w:after="0"/>
        <w:rPr>
          <w:sz w:val="24"/>
          <w:szCs w:val="24"/>
        </w:rPr>
      </w:pPr>
      <w:r w:rsidRPr="005F5D95">
        <w:rPr>
          <w:sz w:val="24"/>
          <w:szCs w:val="24"/>
        </w:rPr>
        <w:t>Bovenstaande is van overeenkomstige toepassing op andere juridische lichamen vergelijkbaar met een vereniging of lichamen naar buitenlands recht opgericht die met deze rechtsvorm vergelijkbaar zijn.</w:t>
      </w:r>
      <w:r w:rsidR="00123C07" w:rsidRPr="005F5D95">
        <w:rPr>
          <w:sz w:val="24"/>
          <w:szCs w:val="24"/>
        </w:rPr>
        <w:t xml:space="preserve"> VVE’s zijn ook verplicht om zich te registreren.</w:t>
      </w:r>
    </w:p>
    <w:p w14:paraId="3C2BC837" w14:textId="77777777" w:rsidR="00497C5C" w:rsidRPr="005F5D95" w:rsidRDefault="00497C5C" w:rsidP="005F5D95">
      <w:pPr>
        <w:spacing w:after="0"/>
        <w:rPr>
          <w:b/>
          <w:bCs/>
          <w:sz w:val="24"/>
          <w:szCs w:val="24"/>
        </w:rPr>
      </w:pPr>
    </w:p>
    <w:p w14:paraId="2BDFB400" w14:textId="656A5AD7" w:rsidR="00057C8F" w:rsidRPr="005F5D95" w:rsidRDefault="00057C8F" w:rsidP="005F5D95">
      <w:pPr>
        <w:spacing w:after="0"/>
        <w:rPr>
          <w:b/>
          <w:bCs/>
          <w:sz w:val="24"/>
          <w:szCs w:val="24"/>
        </w:rPr>
      </w:pPr>
      <w:r w:rsidRPr="005F5D95">
        <w:rPr>
          <w:b/>
          <w:bCs/>
          <w:sz w:val="24"/>
          <w:szCs w:val="24"/>
        </w:rPr>
        <w:lastRenderedPageBreak/>
        <w:t>Stichtingen:</w:t>
      </w:r>
    </w:p>
    <w:p w14:paraId="40091EBE" w14:textId="77777777" w:rsidR="00057C8F" w:rsidRPr="005F5D95" w:rsidRDefault="00057C8F" w:rsidP="005F5D95">
      <w:pPr>
        <w:pStyle w:val="ListParagraph"/>
        <w:numPr>
          <w:ilvl w:val="0"/>
          <w:numId w:val="12"/>
        </w:numPr>
        <w:spacing w:after="0"/>
        <w:rPr>
          <w:sz w:val="24"/>
          <w:szCs w:val="24"/>
        </w:rPr>
      </w:pPr>
      <w:r w:rsidRPr="005F5D95">
        <w:rPr>
          <w:sz w:val="24"/>
          <w:szCs w:val="24"/>
        </w:rPr>
        <w:t>De oprichters;</w:t>
      </w:r>
    </w:p>
    <w:p w14:paraId="38ED4873" w14:textId="77777777" w:rsidR="00057C8F" w:rsidRPr="005F5D95" w:rsidRDefault="00057C8F" w:rsidP="005F5D95">
      <w:pPr>
        <w:pStyle w:val="ListParagraph"/>
        <w:numPr>
          <w:ilvl w:val="0"/>
          <w:numId w:val="12"/>
        </w:numPr>
        <w:spacing w:after="0"/>
        <w:rPr>
          <w:sz w:val="24"/>
          <w:szCs w:val="24"/>
        </w:rPr>
      </w:pPr>
      <w:r w:rsidRPr="005F5D95">
        <w:rPr>
          <w:sz w:val="24"/>
          <w:szCs w:val="24"/>
        </w:rPr>
        <w:t>De bestuurders;</w:t>
      </w:r>
    </w:p>
    <w:p w14:paraId="02012D10" w14:textId="77777777" w:rsidR="00057C8F" w:rsidRPr="005F5D95" w:rsidRDefault="00057C8F" w:rsidP="005F5D95">
      <w:pPr>
        <w:pStyle w:val="ListParagraph"/>
        <w:numPr>
          <w:ilvl w:val="0"/>
          <w:numId w:val="12"/>
        </w:numPr>
        <w:spacing w:after="0"/>
        <w:rPr>
          <w:sz w:val="24"/>
          <w:szCs w:val="24"/>
        </w:rPr>
      </w:pPr>
      <w:r w:rsidRPr="005F5D95">
        <w:rPr>
          <w:sz w:val="24"/>
          <w:szCs w:val="24"/>
        </w:rPr>
        <w:t>De begunstigden, of de groep personen in wier belang de stichting is opgericht, of</w:t>
      </w:r>
    </w:p>
    <w:p w14:paraId="022A64A8" w14:textId="77777777" w:rsidR="00057C8F" w:rsidRPr="005F5D95" w:rsidRDefault="00057C8F" w:rsidP="005F5D95">
      <w:pPr>
        <w:pStyle w:val="ListParagraph"/>
        <w:numPr>
          <w:ilvl w:val="0"/>
          <w:numId w:val="12"/>
        </w:numPr>
        <w:spacing w:after="0"/>
        <w:rPr>
          <w:sz w:val="24"/>
          <w:szCs w:val="24"/>
        </w:rPr>
      </w:pPr>
      <w:r w:rsidRPr="005F5D95">
        <w:rPr>
          <w:sz w:val="24"/>
          <w:szCs w:val="24"/>
        </w:rPr>
        <w:t>Personen die uiteindelijke zeggenschap over de stichting hebben.</w:t>
      </w:r>
    </w:p>
    <w:p w14:paraId="2F642A18" w14:textId="785C2A9A" w:rsidR="00057C8F" w:rsidRPr="005F5D95" w:rsidRDefault="00057C8F" w:rsidP="005F5D95">
      <w:pPr>
        <w:spacing w:after="0"/>
        <w:rPr>
          <w:sz w:val="24"/>
          <w:szCs w:val="24"/>
        </w:rPr>
      </w:pPr>
      <w:r w:rsidRPr="005F5D95">
        <w:rPr>
          <w:sz w:val="24"/>
          <w:szCs w:val="24"/>
        </w:rPr>
        <w:t xml:space="preserve">Bovenstaande is van overeenkomstige toepassing op </w:t>
      </w:r>
      <w:r w:rsidRPr="005F5D95">
        <w:rPr>
          <w:b/>
          <w:bCs/>
          <w:sz w:val="24"/>
          <w:szCs w:val="24"/>
        </w:rPr>
        <w:t>stichtingen particulier fonds</w:t>
      </w:r>
      <w:r w:rsidRPr="005F5D95">
        <w:rPr>
          <w:sz w:val="24"/>
          <w:szCs w:val="24"/>
        </w:rPr>
        <w:t>, kerkgenootschappen, op andere juridische entiteiten vergelijkbaar met een stichting, alsmede op lichamen naar buitenlands recht opgericht die met deze rechtsvorm vergelijkbaar zijn.</w:t>
      </w:r>
      <w:r w:rsidR="004D634C" w:rsidRPr="005F5D95">
        <w:rPr>
          <w:sz w:val="24"/>
          <w:szCs w:val="24"/>
        </w:rPr>
        <w:t xml:space="preserve"> Alle voorkomende UBO’s worden geregistreerd (oprichters, bestuurders, begunstigden en </w:t>
      </w:r>
      <w:r w:rsidR="00920C8E" w:rsidRPr="005F5D95">
        <w:rPr>
          <w:sz w:val="24"/>
          <w:szCs w:val="24"/>
        </w:rPr>
        <w:t xml:space="preserve">degenen met (25% of meer) </w:t>
      </w:r>
      <w:r w:rsidR="004D634C" w:rsidRPr="005F5D95">
        <w:rPr>
          <w:sz w:val="24"/>
          <w:szCs w:val="24"/>
        </w:rPr>
        <w:t>zeggenschap)</w:t>
      </w:r>
      <w:r w:rsidR="00955150" w:rsidRPr="005F5D95">
        <w:rPr>
          <w:sz w:val="24"/>
          <w:szCs w:val="24"/>
        </w:rPr>
        <w:t>.</w:t>
      </w:r>
    </w:p>
    <w:p w14:paraId="5D16A3A6" w14:textId="77777777" w:rsidR="00497C5C" w:rsidRPr="005F5D95" w:rsidRDefault="00497C5C" w:rsidP="005F5D95">
      <w:pPr>
        <w:spacing w:after="0"/>
        <w:rPr>
          <w:b/>
          <w:bCs/>
          <w:sz w:val="24"/>
          <w:szCs w:val="24"/>
        </w:rPr>
      </w:pPr>
    </w:p>
    <w:p w14:paraId="30AFB9E0" w14:textId="76ACC536" w:rsidR="00057C8F" w:rsidRPr="005F5D95" w:rsidRDefault="00057C8F" w:rsidP="005F5D95">
      <w:pPr>
        <w:spacing w:after="0"/>
        <w:rPr>
          <w:b/>
          <w:bCs/>
          <w:sz w:val="24"/>
          <w:szCs w:val="24"/>
        </w:rPr>
      </w:pPr>
      <w:r w:rsidRPr="005F5D95">
        <w:rPr>
          <w:b/>
          <w:bCs/>
          <w:sz w:val="24"/>
          <w:szCs w:val="24"/>
        </w:rPr>
        <w:t>Trusts:</w:t>
      </w:r>
    </w:p>
    <w:p w14:paraId="607A8C6E" w14:textId="77777777" w:rsidR="00057C8F" w:rsidRPr="005F5D95" w:rsidRDefault="00057C8F" w:rsidP="005F5D95">
      <w:pPr>
        <w:pStyle w:val="ListParagraph"/>
        <w:numPr>
          <w:ilvl w:val="0"/>
          <w:numId w:val="13"/>
        </w:numPr>
        <w:spacing w:after="0"/>
        <w:rPr>
          <w:sz w:val="24"/>
          <w:szCs w:val="24"/>
        </w:rPr>
      </w:pPr>
      <w:r w:rsidRPr="005F5D95">
        <w:rPr>
          <w:sz w:val="24"/>
          <w:szCs w:val="24"/>
        </w:rPr>
        <w:t>De oprichters;</w:t>
      </w:r>
    </w:p>
    <w:p w14:paraId="586A51CB" w14:textId="77777777" w:rsidR="00057C8F" w:rsidRPr="005F5D95" w:rsidRDefault="00057C8F" w:rsidP="005F5D95">
      <w:pPr>
        <w:pStyle w:val="ListParagraph"/>
        <w:numPr>
          <w:ilvl w:val="0"/>
          <w:numId w:val="13"/>
        </w:numPr>
        <w:spacing w:after="0"/>
        <w:rPr>
          <w:sz w:val="24"/>
          <w:szCs w:val="24"/>
        </w:rPr>
      </w:pPr>
      <w:r w:rsidRPr="005F5D95">
        <w:rPr>
          <w:sz w:val="24"/>
          <w:szCs w:val="24"/>
        </w:rPr>
        <w:t>De trustees;</w:t>
      </w:r>
    </w:p>
    <w:p w14:paraId="01D0BFED" w14:textId="77777777" w:rsidR="00057C8F" w:rsidRPr="005F5D95" w:rsidRDefault="00057C8F" w:rsidP="005F5D95">
      <w:pPr>
        <w:pStyle w:val="ListParagraph"/>
        <w:numPr>
          <w:ilvl w:val="0"/>
          <w:numId w:val="13"/>
        </w:numPr>
        <w:spacing w:after="0"/>
        <w:rPr>
          <w:sz w:val="24"/>
          <w:szCs w:val="24"/>
        </w:rPr>
      </w:pPr>
      <w:r w:rsidRPr="005F5D95">
        <w:rPr>
          <w:sz w:val="24"/>
          <w:szCs w:val="24"/>
        </w:rPr>
        <w:t>De protectors (indien van toepassing);</w:t>
      </w:r>
    </w:p>
    <w:p w14:paraId="405F9F25" w14:textId="77777777" w:rsidR="00057C8F" w:rsidRPr="005F5D95" w:rsidRDefault="00057C8F" w:rsidP="005F5D95">
      <w:pPr>
        <w:pStyle w:val="ListParagraph"/>
        <w:numPr>
          <w:ilvl w:val="0"/>
          <w:numId w:val="13"/>
        </w:numPr>
        <w:spacing w:after="0"/>
        <w:rPr>
          <w:sz w:val="24"/>
          <w:szCs w:val="24"/>
        </w:rPr>
      </w:pPr>
      <w:r w:rsidRPr="005F5D95">
        <w:rPr>
          <w:sz w:val="24"/>
          <w:szCs w:val="24"/>
        </w:rPr>
        <w:t>De begunstigden, of de groep personen in wier belang de trust is opgericht;</w:t>
      </w:r>
    </w:p>
    <w:p w14:paraId="2F692330" w14:textId="77777777" w:rsidR="00057C8F" w:rsidRPr="005F5D95" w:rsidRDefault="00057C8F" w:rsidP="005F5D95">
      <w:pPr>
        <w:pStyle w:val="ListParagraph"/>
        <w:numPr>
          <w:ilvl w:val="0"/>
          <w:numId w:val="13"/>
        </w:numPr>
        <w:spacing w:after="0"/>
        <w:rPr>
          <w:sz w:val="24"/>
          <w:szCs w:val="24"/>
        </w:rPr>
      </w:pPr>
      <w:r w:rsidRPr="005F5D95">
        <w:rPr>
          <w:sz w:val="24"/>
          <w:szCs w:val="24"/>
        </w:rPr>
        <w:t>Personen die uiteindelijke zeggenschap over de trust hebben.</w:t>
      </w:r>
    </w:p>
    <w:p w14:paraId="0289583E" w14:textId="4FC482BA" w:rsidR="00955150" w:rsidRPr="005F5D95" w:rsidRDefault="00057C8F" w:rsidP="005F5D95">
      <w:pPr>
        <w:spacing w:after="0"/>
        <w:rPr>
          <w:sz w:val="24"/>
          <w:szCs w:val="24"/>
        </w:rPr>
      </w:pPr>
      <w:r w:rsidRPr="005F5D95">
        <w:rPr>
          <w:sz w:val="24"/>
          <w:szCs w:val="24"/>
        </w:rPr>
        <w:t>Bovenstaande is van overeenkomstige toepassing op andere juridische constructies vergelijkbaar met een trust, alsmede op constructies naar buitenlands recht opgericht die met de trust vergelijkbaar zijn.</w:t>
      </w:r>
      <w:r w:rsidR="00955150" w:rsidRPr="005F5D95">
        <w:rPr>
          <w:sz w:val="24"/>
          <w:szCs w:val="24"/>
        </w:rPr>
        <w:t xml:space="preserve"> Alle voorkomende UBO’s worden geregistreerd (oprichters, bestuurders, begunstigden en zeggenschap houders).</w:t>
      </w:r>
    </w:p>
    <w:p w14:paraId="6F77C39F" w14:textId="6A0AFC37" w:rsidR="00057C8F" w:rsidRPr="005F5D95" w:rsidRDefault="00057C8F" w:rsidP="005F5D95">
      <w:pPr>
        <w:spacing w:after="0"/>
        <w:rPr>
          <w:sz w:val="24"/>
          <w:szCs w:val="24"/>
        </w:rPr>
      </w:pPr>
    </w:p>
    <w:p w14:paraId="432E22A3" w14:textId="77777777" w:rsidR="00057C8F" w:rsidRPr="005F5D95" w:rsidRDefault="00057C8F" w:rsidP="005F5D95">
      <w:pPr>
        <w:pStyle w:val="Heading1"/>
        <w:spacing w:before="0" w:after="0"/>
        <w:rPr>
          <w:b/>
          <w:bCs/>
          <w:color w:val="auto"/>
          <w:sz w:val="24"/>
          <w:szCs w:val="24"/>
        </w:rPr>
      </w:pPr>
      <w:r w:rsidRPr="005F5D95">
        <w:rPr>
          <w:b/>
          <w:bCs/>
          <w:color w:val="auto"/>
          <w:sz w:val="24"/>
          <w:szCs w:val="24"/>
        </w:rPr>
        <w:t>Bevoegd persoon</w:t>
      </w:r>
    </w:p>
    <w:p w14:paraId="5BF3A04E" w14:textId="43D9E439" w:rsidR="00057C8F" w:rsidRPr="005F5D95" w:rsidRDefault="00057C8F" w:rsidP="005F5D95">
      <w:pPr>
        <w:spacing w:after="0"/>
        <w:rPr>
          <w:sz w:val="24"/>
          <w:szCs w:val="24"/>
        </w:rPr>
      </w:pPr>
      <w:r w:rsidRPr="005F5D95">
        <w:rPr>
          <w:sz w:val="24"/>
          <w:szCs w:val="24"/>
        </w:rPr>
        <w:t xml:space="preserve">De Secretaris onderzoekt of de </w:t>
      </w:r>
      <w:r w:rsidR="00920C8E" w:rsidRPr="005F5D95">
        <w:rPr>
          <w:sz w:val="24"/>
          <w:szCs w:val="24"/>
        </w:rPr>
        <w:t xml:space="preserve">opgave </w:t>
      </w:r>
      <w:r w:rsidRPr="005F5D95">
        <w:rPr>
          <w:sz w:val="24"/>
          <w:szCs w:val="24"/>
        </w:rPr>
        <w:t>afkomstig is van een bevoegd persoon</w:t>
      </w:r>
      <w:r w:rsidR="005B0F66" w:rsidRPr="005F5D95">
        <w:rPr>
          <w:sz w:val="24"/>
          <w:szCs w:val="24"/>
        </w:rPr>
        <w:t xml:space="preserve"> </w:t>
      </w:r>
      <w:r w:rsidR="005B0F66" w:rsidRPr="005F5D95">
        <w:rPr>
          <w:b/>
          <w:bCs/>
          <w:sz w:val="24"/>
          <w:szCs w:val="24"/>
        </w:rPr>
        <w:t>aan de hand van de inschrijving van het lichaam in het handelsregister</w:t>
      </w:r>
      <w:r w:rsidRPr="005F5D95">
        <w:rPr>
          <w:sz w:val="24"/>
          <w:szCs w:val="24"/>
        </w:rPr>
        <w:t xml:space="preserve">. Ingeval aanlevering niet plaatsvindt door het bestuur van een lichaam, </w:t>
      </w:r>
      <w:r w:rsidR="00920C8E" w:rsidRPr="005F5D95">
        <w:rPr>
          <w:sz w:val="24"/>
          <w:szCs w:val="24"/>
        </w:rPr>
        <w:t>is het verplicht om een schriftelijke volmacht mee te sturen</w:t>
      </w:r>
      <w:r w:rsidRPr="005F5D95">
        <w:rPr>
          <w:sz w:val="24"/>
          <w:szCs w:val="24"/>
        </w:rPr>
        <w:t>.</w:t>
      </w:r>
    </w:p>
    <w:p w14:paraId="200CE148" w14:textId="77777777" w:rsidR="00920C8E" w:rsidRPr="005F5D95" w:rsidRDefault="00920C8E" w:rsidP="005F5D95">
      <w:pPr>
        <w:pStyle w:val="Heading1"/>
        <w:spacing w:before="0" w:after="0"/>
        <w:rPr>
          <w:color w:val="auto"/>
          <w:sz w:val="24"/>
          <w:szCs w:val="24"/>
        </w:rPr>
      </w:pPr>
    </w:p>
    <w:p w14:paraId="2C59A90D" w14:textId="55CFCD89" w:rsidR="00057C8F" w:rsidRPr="005F5D95" w:rsidRDefault="00057C8F" w:rsidP="005F5D95">
      <w:pPr>
        <w:pStyle w:val="Heading1"/>
        <w:spacing w:before="0" w:after="0"/>
        <w:rPr>
          <w:b/>
          <w:bCs/>
          <w:color w:val="auto"/>
          <w:sz w:val="24"/>
          <w:szCs w:val="24"/>
        </w:rPr>
      </w:pPr>
      <w:r w:rsidRPr="005F5D95">
        <w:rPr>
          <w:b/>
          <w:bCs/>
          <w:color w:val="auto"/>
          <w:sz w:val="24"/>
          <w:szCs w:val="24"/>
        </w:rPr>
        <w:t>Weigering van de UBO-registratie</w:t>
      </w:r>
    </w:p>
    <w:p w14:paraId="7EED6B87" w14:textId="1179558B" w:rsidR="00A56F1C" w:rsidRPr="005F5D95" w:rsidRDefault="00057C8F" w:rsidP="005F5D95">
      <w:pPr>
        <w:spacing w:after="0"/>
        <w:rPr>
          <w:sz w:val="24"/>
          <w:szCs w:val="24"/>
        </w:rPr>
      </w:pPr>
      <w:r w:rsidRPr="005F5D95">
        <w:rPr>
          <w:sz w:val="24"/>
          <w:szCs w:val="24"/>
        </w:rPr>
        <w:t xml:space="preserve">Als de Secretaris ervan overtuigd is dat de </w:t>
      </w:r>
      <w:r w:rsidR="00920C8E" w:rsidRPr="005F5D95">
        <w:rPr>
          <w:sz w:val="24"/>
          <w:szCs w:val="24"/>
        </w:rPr>
        <w:t>opgave</w:t>
      </w:r>
      <w:r w:rsidRPr="005F5D95">
        <w:rPr>
          <w:sz w:val="24"/>
          <w:szCs w:val="24"/>
        </w:rPr>
        <w:t xml:space="preserve"> door een bevoegd persoon is gedaan, zal de Secretaris overgaan tot registratie van de uiteindelijk gerechtigden. Indien de Secretaris van oordeel is dat de registratie niet juist is, zal de Secretaris het bestuur van het lichaam, of de indiener, adviseren de registratie te wijzigen of in te trekken. De registratie wordt dan opnieuw ter beschikking gesteld aan het bestuur van het lichaam, met aanwijzingen die nuttig worden geacht voor het UBO-register. </w:t>
      </w:r>
      <w:r w:rsidR="00A56F1C" w:rsidRPr="005F5D95">
        <w:rPr>
          <w:sz w:val="24"/>
          <w:szCs w:val="24"/>
        </w:rPr>
        <w:t xml:space="preserve"> Van onvolledige en onjuiste opgaven wordt melding gemaakt bij de bevoegde autoriteiten.</w:t>
      </w:r>
    </w:p>
    <w:p w14:paraId="29384BC2" w14:textId="77777777" w:rsidR="00057C8F" w:rsidRPr="005F5D95" w:rsidRDefault="00057C8F" w:rsidP="005F5D95">
      <w:pPr>
        <w:pStyle w:val="Heading1"/>
        <w:spacing w:after="0"/>
        <w:rPr>
          <w:b/>
          <w:bCs/>
          <w:color w:val="auto"/>
          <w:sz w:val="24"/>
          <w:szCs w:val="24"/>
        </w:rPr>
      </w:pPr>
      <w:r w:rsidRPr="005F5D95">
        <w:rPr>
          <w:b/>
          <w:bCs/>
          <w:color w:val="auto"/>
          <w:sz w:val="24"/>
          <w:szCs w:val="24"/>
        </w:rPr>
        <w:t>Bevoegde instanties</w:t>
      </w:r>
    </w:p>
    <w:p w14:paraId="6086AFD0" w14:textId="77777777" w:rsidR="00A56F1C" w:rsidRPr="005F5D95" w:rsidRDefault="00057C8F" w:rsidP="005F5D95">
      <w:pPr>
        <w:spacing w:after="0"/>
        <w:rPr>
          <w:sz w:val="24"/>
          <w:szCs w:val="24"/>
        </w:rPr>
      </w:pPr>
      <w:r w:rsidRPr="005F5D95">
        <w:rPr>
          <w:sz w:val="24"/>
          <w:szCs w:val="24"/>
        </w:rPr>
        <w:t xml:space="preserve">De gegevens in het UBO-register kunnen alleen worden ingezien door het Openbaar Ministerie, de Centrale Bank van Curaçao en Sint Maarten, de Financiële Inlichtingen Eenheid Curaçao, afdelingen analyse en toezicht, de Stichting Gaming Control Board en de </w:t>
      </w:r>
      <w:r w:rsidRPr="005F5D95">
        <w:rPr>
          <w:sz w:val="24"/>
          <w:szCs w:val="24"/>
        </w:rPr>
        <w:lastRenderedPageBreak/>
        <w:t xml:space="preserve">Inspecteur der Belastingen, wanneer deze instanties handelen binnen het kader van hun wettelijke taken of bevoegdheden. </w:t>
      </w:r>
    </w:p>
    <w:p w14:paraId="13A89734" w14:textId="4074AECB" w:rsidR="00057C8F" w:rsidRPr="005F5D95" w:rsidRDefault="00057C8F" w:rsidP="005F5D95">
      <w:pPr>
        <w:spacing w:after="0"/>
        <w:rPr>
          <w:sz w:val="24"/>
          <w:szCs w:val="24"/>
        </w:rPr>
      </w:pPr>
      <w:r w:rsidRPr="005F5D95">
        <w:rPr>
          <w:sz w:val="24"/>
          <w:szCs w:val="24"/>
        </w:rPr>
        <w:t xml:space="preserve">Verder is het voor eenieder mogelijk om zekerheid te verkrijgen of diens persoonlijke gegevens in het UBO-register geregistreerd staat of in de afgelopen tien jaren hebben gestaan. De Kamer verstrekt deze informatie aan de </w:t>
      </w:r>
      <w:r w:rsidR="00A56F1C" w:rsidRPr="005F5D95">
        <w:rPr>
          <w:sz w:val="24"/>
          <w:szCs w:val="24"/>
        </w:rPr>
        <w:t>betrokkene zelf</w:t>
      </w:r>
      <w:r w:rsidRPr="005F5D95">
        <w:rPr>
          <w:sz w:val="24"/>
          <w:szCs w:val="24"/>
        </w:rPr>
        <w:t xml:space="preserve">. Ook indien geen persoonlijke gegevens in het UBO-register zijn opgeslagen meldt de Kamer dit aan de verzoeker. </w:t>
      </w:r>
    </w:p>
    <w:p w14:paraId="45BD6F3F" w14:textId="77777777" w:rsidR="00057C8F" w:rsidRPr="005F5D95" w:rsidRDefault="00057C8F" w:rsidP="005F5D95">
      <w:pPr>
        <w:pStyle w:val="Heading1"/>
        <w:spacing w:after="0"/>
        <w:rPr>
          <w:b/>
          <w:bCs/>
          <w:color w:val="auto"/>
          <w:sz w:val="24"/>
          <w:szCs w:val="24"/>
        </w:rPr>
      </w:pPr>
      <w:r w:rsidRPr="005F5D95">
        <w:rPr>
          <w:b/>
          <w:bCs/>
          <w:color w:val="auto"/>
          <w:sz w:val="24"/>
          <w:szCs w:val="24"/>
        </w:rPr>
        <w:t>Registratie van UBO-gegevens</w:t>
      </w:r>
    </w:p>
    <w:p w14:paraId="0F61970F" w14:textId="77777777" w:rsidR="00057C8F" w:rsidRPr="005F5D95" w:rsidRDefault="00057C8F" w:rsidP="005F5D95">
      <w:pPr>
        <w:spacing w:after="0"/>
        <w:rPr>
          <w:sz w:val="24"/>
          <w:szCs w:val="24"/>
        </w:rPr>
      </w:pPr>
      <w:r w:rsidRPr="005F5D95">
        <w:rPr>
          <w:sz w:val="24"/>
          <w:szCs w:val="24"/>
        </w:rPr>
        <w:t>Bij de registratie moeten de volgende gegevens worden opgegeven voor elk lichaam en de uiteindelijk gerechtigden:</w:t>
      </w:r>
    </w:p>
    <w:p w14:paraId="2DECE5C1" w14:textId="77777777" w:rsidR="00057C8F" w:rsidRPr="005F5D95" w:rsidRDefault="00057C8F" w:rsidP="005F5D95">
      <w:pPr>
        <w:spacing w:after="0"/>
        <w:rPr>
          <w:b/>
          <w:bCs/>
          <w:sz w:val="24"/>
          <w:szCs w:val="24"/>
        </w:rPr>
      </w:pPr>
      <w:r w:rsidRPr="005F5D95">
        <w:rPr>
          <w:b/>
          <w:bCs/>
          <w:sz w:val="24"/>
          <w:szCs w:val="24"/>
        </w:rPr>
        <w:t>Voor het lichaam:</w:t>
      </w:r>
    </w:p>
    <w:p w14:paraId="7436E5A4" w14:textId="77777777" w:rsidR="00057C8F" w:rsidRPr="005F5D95" w:rsidRDefault="00057C8F" w:rsidP="005F5D95">
      <w:pPr>
        <w:pStyle w:val="ListParagraph"/>
        <w:numPr>
          <w:ilvl w:val="0"/>
          <w:numId w:val="7"/>
        </w:numPr>
        <w:spacing w:after="0"/>
        <w:ind w:left="720" w:hanging="360"/>
        <w:rPr>
          <w:sz w:val="24"/>
          <w:szCs w:val="24"/>
        </w:rPr>
      </w:pPr>
      <w:r w:rsidRPr="005F5D95">
        <w:rPr>
          <w:sz w:val="24"/>
          <w:szCs w:val="24"/>
        </w:rPr>
        <w:t>de benaming van het lichaam;</w:t>
      </w:r>
    </w:p>
    <w:p w14:paraId="7914BE2F" w14:textId="47F33EA3" w:rsidR="00057C8F" w:rsidRPr="005F5D95" w:rsidRDefault="00057C8F" w:rsidP="005F5D95">
      <w:pPr>
        <w:pStyle w:val="ListParagraph"/>
        <w:numPr>
          <w:ilvl w:val="0"/>
          <w:numId w:val="7"/>
        </w:numPr>
        <w:spacing w:after="0"/>
        <w:ind w:left="720" w:hanging="360"/>
        <w:rPr>
          <w:sz w:val="24"/>
          <w:szCs w:val="24"/>
        </w:rPr>
      </w:pPr>
      <w:r w:rsidRPr="005F5D95">
        <w:rPr>
          <w:sz w:val="24"/>
          <w:szCs w:val="24"/>
        </w:rPr>
        <w:t>het C</w:t>
      </w:r>
      <w:r w:rsidR="006F3698" w:rsidRPr="005F5D95">
        <w:rPr>
          <w:sz w:val="24"/>
          <w:szCs w:val="24"/>
        </w:rPr>
        <w:t>RIB</w:t>
      </w:r>
      <w:r w:rsidRPr="005F5D95">
        <w:rPr>
          <w:sz w:val="24"/>
          <w:szCs w:val="24"/>
        </w:rPr>
        <w:t>-nummer, en</w:t>
      </w:r>
    </w:p>
    <w:p w14:paraId="03372768" w14:textId="77777777" w:rsidR="00A56F1C" w:rsidRPr="005F5D95" w:rsidRDefault="00057C8F" w:rsidP="005F5D95">
      <w:pPr>
        <w:pStyle w:val="ListParagraph"/>
        <w:numPr>
          <w:ilvl w:val="0"/>
          <w:numId w:val="7"/>
        </w:numPr>
        <w:spacing w:after="0"/>
        <w:ind w:left="720" w:hanging="360"/>
        <w:rPr>
          <w:sz w:val="24"/>
          <w:szCs w:val="24"/>
        </w:rPr>
      </w:pPr>
      <w:r w:rsidRPr="005F5D95">
        <w:rPr>
          <w:sz w:val="24"/>
          <w:szCs w:val="24"/>
        </w:rPr>
        <w:t>het inschrijvingsnummer in het handelsregister</w:t>
      </w:r>
    </w:p>
    <w:p w14:paraId="2BD109C9" w14:textId="3B7ACC56" w:rsidR="00057C8F" w:rsidRPr="005F5D95" w:rsidRDefault="00A56F1C" w:rsidP="005F5D95">
      <w:pPr>
        <w:pStyle w:val="ListParagraph"/>
        <w:numPr>
          <w:ilvl w:val="0"/>
          <w:numId w:val="7"/>
        </w:numPr>
        <w:spacing w:after="0"/>
        <w:ind w:left="720" w:hanging="360"/>
        <w:rPr>
          <w:sz w:val="24"/>
          <w:szCs w:val="24"/>
        </w:rPr>
      </w:pPr>
      <w:r w:rsidRPr="005F5D95">
        <w:rPr>
          <w:sz w:val="24"/>
          <w:szCs w:val="24"/>
        </w:rPr>
        <w:t>het volledig adres van het lichaam</w:t>
      </w:r>
      <w:r w:rsidR="00057C8F" w:rsidRPr="005F5D95">
        <w:rPr>
          <w:sz w:val="24"/>
          <w:szCs w:val="24"/>
        </w:rPr>
        <w:t>.</w:t>
      </w:r>
    </w:p>
    <w:p w14:paraId="0D712F7A" w14:textId="5FDE2BEB" w:rsidR="00057C8F" w:rsidRPr="005F5D95" w:rsidRDefault="00057C8F" w:rsidP="005F5D95">
      <w:pPr>
        <w:spacing w:after="0"/>
        <w:rPr>
          <w:b/>
          <w:bCs/>
          <w:sz w:val="24"/>
          <w:szCs w:val="24"/>
        </w:rPr>
      </w:pPr>
      <w:r w:rsidRPr="005F5D95">
        <w:rPr>
          <w:b/>
          <w:bCs/>
          <w:sz w:val="24"/>
          <w:szCs w:val="24"/>
        </w:rPr>
        <w:t xml:space="preserve">Voor de uiteindelijk gerechtigden die </w:t>
      </w:r>
      <w:r w:rsidR="00A56F1C" w:rsidRPr="005F5D95">
        <w:rPr>
          <w:b/>
          <w:bCs/>
          <w:sz w:val="24"/>
          <w:szCs w:val="24"/>
        </w:rPr>
        <w:t xml:space="preserve">(altijd) </w:t>
      </w:r>
      <w:r w:rsidRPr="005F5D95">
        <w:rPr>
          <w:b/>
          <w:bCs/>
          <w:sz w:val="24"/>
          <w:szCs w:val="24"/>
        </w:rPr>
        <w:t>natuurlijke personen zijn:</w:t>
      </w:r>
    </w:p>
    <w:p w14:paraId="4A370B6D" w14:textId="77777777" w:rsidR="00057C8F" w:rsidRPr="005F5D95" w:rsidRDefault="00057C8F" w:rsidP="005F5D95">
      <w:pPr>
        <w:pStyle w:val="ListParagraph"/>
        <w:numPr>
          <w:ilvl w:val="0"/>
          <w:numId w:val="15"/>
        </w:numPr>
        <w:spacing w:after="0"/>
        <w:rPr>
          <w:sz w:val="24"/>
          <w:szCs w:val="24"/>
        </w:rPr>
      </w:pPr>
      <w:r w:rsidRPr="005F5D95">
        <w:rPr>
          <w:sz w:val="24"/>
          <w:szCs w:val="24"/>
        </w:rPr>
        <w:t>de naam, geboortedatum, geboorteland en nationaliteit;</w:t>
      </w:r>
    </w:p>
    <w:p w14:paraId="3CBE1F9A" w14:textId="77777777" w:rsidR="00057C8F" w:rsidRPr="005F5D95" w:rsidRDefault="00057C8F" w:rsidP="005F5D95">
      <w:pPr>
        <w:pStyle w:val="ListParagraph"/>
        <w:numPr>
          <w:ilvl w:val="0"/>
          <w:numId w:val="15"/>
        </w:numPr>
        <w:spacing w:after="0"/>
        <w:rPr>
          <w:sz w:val="24"/>
          <w:szCs w:val="24"/>
        </w:rPr>
      </w:pPr>
      <w:r w:rsidRPr="005F5D95">
        <w:rPr>
          <w:sz w:val="24"/>
          <w:szCs w:val="24"/>
        </w:rPr>
        <w:t>het woonadres en de woonstaat;</w:t>
      </w:r>
    </w:p>
    <w:p w14:paraId="64CF29F7" w14:textId="5E3F8862" w:rsidR="00057C8F" w:rsidRPr="005F5D95" w:rsidRDefault="00057C8F" w:rsidP="005F5D95">
      <w:pPr>
        <w:pStyle w:val="ListParagraph"/>
        <w:numPr>
          <w:ilvl w:val="0"/>
          <w:numId w:val="15"/>
        </w:numPr>
        <w:spacing w:after="0"/>
        <w:rPr>
          <w:sz w:val="24"/>
          <w:szCs w:val="24"/>
        </w:rPr>
      </w:pPr>
      <w:r w:rsidRPr="005F5D95">
        <w:rPr>
          <w:sz w:val="24"/>
          <w:szCs w:val="24"/>
        </w:rPr>
        <w:t>voor ingezetenen van Curaçao: het C</w:t>
      </w:r>
      <w:r w:rsidR="006F3698" w:rsidRPr="005F5D95">
        <w:rPr>
          <w:sz w:val="24"/>
          <w:szCs w:val="24"/>
        </w:rPr>
        <w:t>RIB</w:t>
      </w:r>
      <w:r w:rsidRPr="005F5D95">
        <w:rPr>
          <w:sz w:val="24"/>
          <w:szCs w:val="24"/>
        </w:rPr>
        <w:t>-nummer;</w:t>
      </w:r>
    </w:p>
    <w:p w14:paraId="7A89CC75" w14:textId="77777777" w:rsidR="00057C8F" w:rsidRPr="005F5D95" w:rsidRDefault="00057C8F" w:rsidP="005F5D95">
      <w:pPr>
        <w:pStyle w:val="ListParagraph"/>
        <w:numPr>
          <w:ilvl w:val="0"/>
          <w:numId w:val="15"/>
        </w:numPr>
        <w:spacing w:after="0"/>
        <w:rPr>
          <w:sz w:val="24"/>
          <w:szCs w:val="24"/>
        </w:rPr>
      </w:pPr>
      <w:r w:rsidRPr="005F5D95">
        <w:rPr>
          <w:sz w:val="24"/>
          <w:szCs w:val="24"/>
        </w:rPr>
        <w:t>voor niet-ingezetenen van Curaçao: het fiscaal identificatienummer van het land van inwonerschap, indien van toepassing, of het nummer van een geldig wettelijk identiteitsbewijs, en</w:t>
      </w:r>
    </w:p>
    <w:p w14:paraId="13759BA5" w14:textId="77777777" w:rsidR="00057C8F" w:rsidRPr="005F5D95" w:rsidRDefault="00057C8F" w:rsidP="005F5D95">
      <w:pPr>
        <w:pStyle w:val="ListParagraph"/>
        <w:numPr>
          <w:ilvl w:val="0"/>
          <w:numId w:val="15"/>
        </w:numPr>
        <w:spacing w:after="0"/>
        <w:rPr>
          <w:sz w:val="24"/>
          <w:szCs w:val="24"/>
        </w:rPr>
      </w:pPr>
      <w:r w:rsidRPr="005F5D95">
        <w:rPr>
          <w:sz w:val="24"/>
          <w:szCs w:val="24"/>
        </w:rPr>
        <w:t>de reden waarom de geregistreerde natuurlijke personen als uiteindelijk gerechtigden kwalificeren.</w:t>
      </w:r>
    </w:p>
    <w:p w14:paraId="5899A131" w14:textId="77777777" w:rsidR="00A56F1C" w:rsidRPr="005F5D95" w:rsidRDefault="00A56F1C" w:rsidP="005F5D95">
      <w:pPr>
        <w:spacing w:after="0"/>
        <w:rPr>
          <w:b/>
          <w:bCs/>
          <w:sz w:val="24"/>
          <w:szCs w:val="24"/>
        </w:rPr>
      </w:pPr>
      <w:r w:rsidRPr="005F5D95">
        <w:rPr>
          <w:b/>
          <w:bCs/>
          <w:sz w:val="24"/>
          <w:szCs w:val="24"/>
        </w:rPr>
        <w:t>Per uiteindelijk gerechtigde worden afschriften gedeponeerd van:</w:t>
      </w:r>
    </w:p>
    <w:p w14:paraId="18C9A8CC" w14:textId="77777777" w:rsidR="00A56F1C" w:rsidRPr="005F5D95" w:rsidRDefault="00A56F1C" w:rsidP="005F5D95">
      <w:pPr>
        <w:pStyle w:val="ListParagraph"/>
        <w:numPr>
          <w:ilvl w:val="2"/>
          <w:numId w:val="15"/>
        </w:numPr>
        <w:spacing w:after="0"/>
        <w:ind w:left="720"/>
        <w:rPr>
          <w:sz w:val="24"/>
          <w:szCs w:val="24"/>
        </w:rPr>
      </w:pPr>
      <w:r w:rsidRPr="005F5D95">
        <w:rPr>
          <w:sz w:val="24"/>
          <w:szCs w:val="24"/>
        </w:rPr>
        <w:t>kopie geldig identiteitsbewijs;</w:t>
      </w:r>
    </w:p>
    <w:p w14:paraId="0B5D6557" w14:textId="108B00BD" w:rsidR="00A56F1C" w:rsidRPr="005F5D95" w:rsidRDefault="00A56F1C" w:rsidP="005F5D95">
      <w:pPr>
        <w:pStyle w:val="ListParagraph"/>
        <w:numPr>
          <w:ilvl w:val="2"/>
          <w:numId w:val="15"/>
        </w:numPr>
        <w:spacing w:after="0"/>
        <w:ind w:left="720"/>
        <w:rPr>
          <w:sz w:val="24"/>
          <w:szCs w:val="24"/>
        </w:rPr>
      </w:pPr>
      <w:r w:rsidRPr="005F5D95">
        <w:rPr>
          <w:sz w:val="24"/>
          <w:szCs w:val="24"/>
        </w:rPr>
        <w:t>voor niet-ingezetenen van Curaçao: tevens een officieel document niet ouder dan zes maanden van de buitenlandse burgerlijke stand of soortgelijke buitenlandse instantie waaruit blijkt van welk land de uiteindelijke gerechtige ingezetene is.</w:t>
      </w:r>
    </w:p>
    <w:p w14:paraId="1330D0D7" w14:textId="77777777" w:rsidR="00A56F1C" w:rsidRPr="005F5D95" w:rsidRDefault="00A56F1C" w:rsidP="005F5D95">
      <w:pPr>
        <w:pStyle w:val="ListParagraph"/>
        <w:spacing w:after="0"/>
        <w:rPr>
          <w:sz w:val="24"/>
          <w:szCs w:val="24"/>
        </w:rPr>
      </w:pPr>
    </w:p>
    <w:p w14:paraId="21E0B53A" w14:textId="77777777" w:rsidR="00057C8F" w:rsidRPr="005F5D95" w:rsidRDefault="00057C8F" w:rsidP="005F5D95">
      <w:pPr>
        <w:pStyle w:val="Heading1"/>
        <w:spacing w:before="0" w:after="0"/>
        <w:rPr>
          <w:b/>
          <w:bCs/>
          <w:color w:val="auto"/>
          <w:sz w:val="24"/>
          <w:szCs w:val="24"/>
        </w:rPr>
      </w:pPr>
      <w:r w:rsidRPr="005F5D95">
        <w:rPr>
          <w:b/>
          <w:bCs/>
          <w:color w:val="auto"/>
          <w:sz w:val="24"/>
          <w:szCs w:val="24"/>
        </w:rPr>
        <w:t>Te deponeren documenten</w:t>
      </w:r>
    </w:p>
    <w:p w14:paraId="449532F5" w14:textId="7A1DDB39" w:rsidR="00057C8F" w:rsidRPr="005F5D95" w:rsidRDefault="00057C8F" w:rsidP="005F5D95">
      <w:pPr>
        <w:spacing w:after="0"/>
        <w:rPr>
          <w:sz w:val="24"/>
          <w:szCs w:val="24"/>
        </w:rPr>
      </w:pPr>
      <w:r w:rsidRPr="005F5D95">
        <w:rPr>
          <w:sz w:val="24"/>
          <w:szCs w:val="24"/>
        </w:rPr>
        <w:t>In het UBO-register worden per lichaam de meest actuele afschriften van de volgende categorieën documenten gedeponeerd, voor zover de reden, waarom de natuurlijke personen als uiteindelijk gerechtigden geregistreerd worden daaruit blijken</w:t>
      </w:r>
      <w:r w:rsidR="009D133C">
        <w:rPr>
          <w:sz w:val="24"/>
          <w:szCs w:val="24"/>
        </w:rPr>
        <w:t xml:space="preserve"> (sommige velden zijn optioneel)</w:t>
      </w:r>
      <w:r w:rsidRPr="005F5D95">
        <w:rPr>
          <w:sz w:val="24"/>
          <w:szCs w:val="24"/>
        </w:rPr>
        <w:t>:</w:t>
      </w:r>
    </w:p>
    <w:p w14:paraId="2AD0C662" w14:textId="77777777" w:rsidR="00057C8F" w:rsidRPr="005F5D95" w:rsidRDefault="00057C8F" w:rsidP="005F5D95">
      <w:pPr>
        <w:pStyle w:val="ListParagraph"/>
        <w:numPr>
          <w:ilvl w:val="2"/>
          <w:numId w:val="16"/>
        </w:numPr>
        <w:spacing w:after="0"/>
        <w:rPr>
          <w:sz w:val="24"/>
          <w:szCs w:val="24"/>
        </w:rPr>
      </w:pPr>
      <w:r w:rsidRPr="005F5D95">
        <w:rPr>
          <w:sz w:val="24"/>
          <w:szCs w:val="24"/>
        </w:rPr>
        <w:t>aandeelhoudersregister;</w:t>
      </w:r>
    </w:p>
    <w:p w14:paraId="26576E3A" w14:textId="7F6F1932" w:rsidR="00057C8F" w:rsidRPr="005F5D95" w:rsidRDefault="00057C8F" w:rsidP="005F5D95">
      <w:pPr>
        <w:pStyle w:val="ListParagraph"/>
        <w:numPr>
          <w:ilvl w:val="2"/>
          <w:numId w:val="16"/>
        </w:numPr>
        <w:spacing w:after="0"/>
        <w:rPr>
          <w:sz w:val="24"/>
          <w:szCs w:val="24"/>
        </w:rPr>
      </w:pPr>
      <w:r w:rsidRPr="005F5D95">
        <w:rPr>
          <w:sz w:val="24"/>
          <w:szCs w:val="24"/>
        </w:rPr>
        <w:t>certificaathouderregister;</w:t>
      </w:r>
    </w:p>
    <w:p w14:paraId="032C6BA2" w14:textId="77777777" w:rsidR="00057C8F" w:rsidRPr="005F5D95" w:rsidRDefault="00057C8F" w:rsidP="005F5D95">
      <w:pPr>
        <w:pStyle w:val="ListParagraph"/>
        <w:numPr>
          <w:ilvl w:val="2"/>
          <w:numId w:val="16"/>
        </w:numPr>
        <w:spacing w:after="0"/>
        <w:rPr>
          <w:sz w:val="24"/>
          <w:szCs w:val="24"/>
        </w:rPr>
      </w:pPr>
      <w:r w:rsidRPr="005F5D95">
        <w:rPr>
          <w:sz w:val="24"/>
          <w:szCs w:val="24"/>
        </w:rPr>
        <w:t>oprichtingsakte;</w:t>
      </w:r>
    </w:p>
    <w:p w14:paraId="5A29E10B" w14:textId="77777777" w:rsidR="00057C8F" w:rsidRPr="005F5D95" w:rsidRDefault="00057C8F" w:rsidP="005F5D95">
      <w:pPr>
        <w:pStyle w:val="ListParagraph"/>
        <w:numPr>
          <w:ilvl w:val="2"/>
          <w:numId w:val="16"/>
        </w:numPr>
        <w:spacing w:after="0"/>
        <w:rPr>
          <w:sz w:val="24"/>
          <w:szCs w:val="24"/>
        </w:rPr>
      </w:pPr>
      <w:r w:rsidRPr="005F5D95">
        <w:rPr>
          <w:sz w:val="24"/>
          <w:szCs w:val="24"/>
        </w:rPr>
        <w:t>andere notariële akte;</w:t>
      </w:r>
    </w:p>
    <w:p w14:paraId="13AB4FDF" w14:textId="7D915A02" w:rsidR="00057C8F" w:rsidRPr="005F5D95" w:rsidRDefault="00057C8F" w:rsidP="005F5D95">
      <w:pPr>
        <w:pStyle w:val="ListParagraph"/>
        <w:numPr>
          <w:ilvl w:val="2"/>
          <w:numId w:val="16"/>
        </w:numPr>
        <w:spacing w:after="0"/>
        <w:rPr>
          <w:sz w:val="24"/>
          <w:szCs w:val="24"/>
        </w:rPr>
      </w:pPr>
      <w:r w:rsidRPr="005F5D95">
        <w:rPr>
          <w:sz w:val="24"/>
          <w:szCs w:val="24"/>
        </w:rPr>
        <w:t>ledenregister</w:t>
      </w:r>
      <w:r w:rsidR="009D133C">
        <w:rPr>
          <w:sz w:val="24"/>
          <w:szCs w:val="24"/>
        </w:rPr>
        <w:t xml:space="preserve"> (of het aantal leden)</w:t>
      </w:r>
      <w:r w:rsidRPr="005F5D95">
        <w:rPr>
          <w:sz w:val="24"/>
          <w:szCs w:val="24"/>
        </w:rPr>
        <w:t>;</w:t>
      </w:r>
    </w:p>
    <w:p w14:paraId="2E23E592" w14:textId="77777777" w:rsidR="00057C8F" w:rsidRPr="005F5D95" w:rsidRDefault="00057C8F" w:rsidP="005F5D95">
      <w:pPr>
        <w:pStyle w:val="ListParagraph"/>
        <w:numPr>
          <w:ilvl w:val="2"/>
          <w:numId w:val="16"/>
        </w:numPr>
        <w:spacing w:after="0"/>
        <w:rPr>
          <w:sz w:val="24"/>
          <w:szCs w:val="24"/>
        </w:rPr>
      </w:pPr>
      <w:r w:rsidRPr="005F5D95">
        <w:rPr>
          <w:sz w:val="24"/>
          <w:szCs w:val="24"/>
        </w:rPr>
        <w:lastRenderedPageBreak/>
        <w:t>contract van oprichting;</w:t>
      </w:r>
    </w:p>
    <w:p w14:paraId="322AD76D" w14:textId="77777777" w:rsidR="00057C8F" w:rsidRPr="005F5D95" w:rsidRDefault="00057C8F" w:rsidP="005F5D95">
      <w:pPr>
        <w:pStyle w:val="ListParagraph"/>
        <w:numPr>
          <w:ilvl w:val="2"/>
          <w:numId w:val="16"/>
        </w:numPr>
        <w:spacing w:after="0"/>
        <w:rPr>
          <w:sz w:val="24"/>
          <w:szCs w:val="24"/>
        </w:rPr>
      </w:pPr>
      <w:r w:rsidRPr="005F5D95">
        <w:rPr>
          <w:sz w:val="24"/>
          <w:szCs w:val="24"/>
        </w:rPr>
        <w:t>organogram;</w:t>
      </w:r>
    </w:p>
    <w:p w14:paraId="30972BB8" w14:textId="77777777" w:rsidR="00057C8F" w:rsidRPr="005F5D95" w:rsidRDefault="00057C8F" w:rsidP="005F5D95">
      <w:pPr>
        <w:pStyle w:val="ListParagraph"/>
        <w:numPr>
          <w:ilvl w:val="2"/>
          <w:numId w:val="16"/>
        </w:numPr>
        <w:spacing w:after="0"/>
        <w:rPr>
          <w:sz w:val="24"/>
          <w:szCs w:val="24"/>
        </w:rPr>
      </w:pPr>
      <w:r w:rsidRPr="005F5D95">
        <w:rPr>
          <w:sz w:val="24"/>
          <w:szCs w:val="24"/>
        </w:rPr>
        <w:t>overige relevante documenten, en</w:t>
      </w:r>
    </w:p>
    <w:p w14:paraId="3274F162" w14:textId="77777777" w:rsidR="00057C8F" w:rsidRPr="005F5D95" w:rsidRDefault="00057C8F" w:rsidP="005F5D95">
      <w:pPr>
        <w:pStyle w:val="ListParagraph"/>
        <w:numPr>
          <w:ilvl w:val="2"/>
          <w:numId w:val="16"/>
        </w:numPr>
        <w:spacing w:after="0"/>
        <w:rPr>
          <w:sz w:val="24"/>
          <w:szCs w:val="24"/>
        </w:rPr>
      </w:pPr>
      <w:r w:rsidRPr="005F5D95">
        <w:rPr>
          <w:sz w:val="24"/>
          <w:szCs w:val="24"/>
        </w:rPr>
        <w:t>afschrift van de volmacht, indien van toepassing.</w:t>
      </w:r>
    </w:p>
    <w:p w14:paraId="0A384F77" w14:textId="77777777" w:rsidR="005B0F66" w:rsidRPr="005F5D95" w:rsidRDefault="005B0F66" w:rsidP="005F5D95">
      <w:pPr>
        <w:spacing w:after="0"/>
        <w:rPr>
          <w:b/>
          <w:bCs/>
          <w:sz w:val="24"/>
          <w:szCs w:val="24"/>
        </w:rPr>
      </w:pPr>
    </w:p>
    <w:p w14:paraId="086EF70E" w14:textId="2D4D4945" w:rsidR="00057C8F" w:rsidRPr="005F5D95" w:rsidRDefault="00057C8F" w:rsidP="005F5D95">
      <w:pPr>
        <w:spacing w:after="0"/>
        <w:rPr>
          <w:b/>
          <w:bCs/>
          <w:sz w:val="24"/>
          <w:szCs w:val="24"/>
        </w:rPr>
      </w:pPr>
      <w:r w:rsidRPr="005F5D95">
        <w:rPr>
          <w:b/>
          <w:bCs/>
          <w:sz w:val="24"/>
          <w:szCs w:val="24"/>
        </w:rPr>
        <w:t>Belang uiteindelijk gerechtigden</w:t>
      </w:r>
    </w:p>
    <w:p w14:paraId="24088DDC" w14:textId="77777777" w:rsidR="00057C8F" w:rsidRPr="005F5D95" w:rsidRDefault="00057C8F" w:rsidP="005F5D95">
      <w:pPr>
        <w:spacing w:after="0"/>
        <w:rPr>
          <w:sz w:val="24"/>
          <w:szCs w:val="24"/>
        </w:rPr>
      </w:pPr>
      <w:r w:rsidRPr="005F5D95">
        <w:rPr>
          <w:sz w:val="24"/>
          <w:szCs w:val="24"/>
        </w:rPr>
        <w:t>Indien de uiteindelijk gerechtigden een bepaald belang hebben in het lichaam dan wordt de aard en omvang van dit belang onderverdeeld in de volgende klassen:</w:t>
      </w:r>
    </w:p>
    <w:p w14:paraId="7736E61E" w14:textId="77777777" w:rsidR="00057C8F" w:rsidRPr="005F5D95" w:rsidRDefault="00057C8F" w:rsidP="005F5D95">
      <w:pPr>
        <w:pStyle w:val="ListParagraph"/>
        <w:numPr>
          <w:ilvl w:val="2"/>
          <w:numId w:val="18"/>
        </w:numPr>
        <w:spacing w:after="0"/>
        <w:rPr>
          <w:sz w:val="24"/>
          <w:szCs w:val="24"/>
        </w:rPr>
      </w:pPr>
      <w:r w:rsidRPr="005F5D95">
        <w:rPr>
          <w:sz w:val="24"/>
          <w:szCs w:val="24"/>
        </w:rPr>
        <w:t>75 tot en met 100 procent;</w:t>
      </w:r>
    </w:p>
    <w:p w14:paraId="10270BC1" w14:textId="77777777" w:rsidR="00057C8F" w:rsidRPr="005F5D95" w:rsidRDefault="00057C8F" w:rsidP="005F5D95">
      <w:pPr>
        <w:pStyle w:val="ListParagraph"/>
        <w:numPr>
          <w:ilvl w:val="2"/>
          <w:numId w:val="18"/>
        </w:numPr>
        <w:spacing w:after="0"/>
        <w:rPr>
          <w:sz w:val="24"/>
          <w:szCs w:val="24"/>
        </w:rPr>
      </w:pPr>
      <w:r w:rsidRPr="005F5D95">
        <w:rPr>
          <w:sz w:val="24"/>
          <w:szCs w:val="24"/>
        </w:rPr>
        <w:t>50 tot 75 procent;</w:t>
      </w:r>
    </w:p>
    <w:p w14:paraId="44FAB285" w14:textId="77777777" w:rsidR="00057C8F" w:rsidRPr="005F5D95" w:rsidRDefault="00057C8F" w:rsidP="005F5D95">
      <w:pPr>
        <w:pStyle w:val="ListParagraph"/>
        <w:numPr>
          <w:ilvl w:val="2"/>
          <w:numId w:val="18"/>
        </w:numPr>
        <w:spacing w:after="0"/>
        <w:rPr>
          <w:sz w:val="24"/>
          <w:szCs w:val="24"/>
        </w:rPr>
      </w:pPr>
      <w:r w:rsidRPr="005F5D95">
        <w:rPr>
          <w:sz w:val="24"/>
          <w:szCs w:val="24"/>
        </w:rPr>
        <w:t>25 tot 50 procent;</w:t>
      </w:r>
    </w:p>
    <w:p w14:paraId="609F7620" w14:textId="77777777" w:rsidR="00057C8F" w:rsidRPr="005F5D95" w:rsidRDefault="00057C8F" w:rsidP="005F5D95">
      <w:pPr>
        <w:pStyle w:val="ListParagraph"/>
        <w:numPr>
          <w:ilvl w:val="2"/>
          <w:numId w:val="18"/>
        </w:numPr>
        <w:spacing w:after="0"/>
        <w:rPr>
          <w:sz w:val="24"/>
          <w:szCs w:val="24"/>
        </w:rPr>
      </w:pPr>
      <w:r w:rsidRPr="005F5D95">
        <w:rPr>
          <w:sz w:val="24"/>
          <w:szCs w:val="24"/>
        </w:rPr>
        <w:t>tot 25 procent, voor zover op basis van artikel 45 van de ALL een lager percentage is vastgesteld.</w:t>
      </w:r>
    </w:p>
    <w:p w14:paraId="4E6D5F53" w14:textId="77777777" w:rsidR="00A56F1C" w:rsidRPr="005F5D95" w:rsidRDefault="00A56F1C" w:rsidP="005F5D95">
      <w:pPr>
        <w:pStyle w:val="Heading1"/>
        <w:spacing w:before="0" w:after="0"/>
        <w:rPr>
          <w:b/>
          <w:bCs/>
          <w:color w:val="auto"/>
          <w:sz w:val="24"/>
          <w:szCs w:val="24"/>
        </w:rPr>
      </w:pPr>
    </w:p>
    <w:p w14:paraId="60839359" w14:textId="34698057" w:rsidR="00057C8F" w:rsidRPr="005F5D95" w:rsidRDefault="00057C8F" w:rsidP="005F5D95">
      <w:pPr>
        <w:pStyle w:val="Heading1"/>
        <w:spacing w:before="0" w:after="0"/>
        <w:rPr>
          <w:b/>
          <w:bCs/>
          <w:color w:val="auto"/>
          <w:sz w:val="24"/>
          <w:szCs w:val="24"/>
        </w:rPr>
      </w:pPr>
      <w:r w:rsidRPr="005F5D95">
        <w:rPr>
          <w:b/>
          <w:bCs/>
          <w:color w:val="auto"/>
          <w:sz w:val="24"/>
          <w:szCs w:val="24"/>
        </w:rPr>
        <w:t>Nieuwe lichamen</w:t>
      </w:r>
    </w:p>
    <w:p w14:paraId="32B8A27D" w14:textId="77777777" w:rsidR="00057C8F" w:rsidRPr="005F5D95" w:rsidRDefault="00057C8F" w:rsidP="005F5D95">
      <w:pPr>
        <w:spacing w:after="0"/>
        <w:rPr>
          <w:sz w:val="24"/>
          <w:szCs w:val="24"/>
        </w:rPr>
      </w:pPr>
      <w:r w:rsidRPr="005F5D95">
        <w:rPr>
          <w:sz w:val="24"/>
          <w:szCs w:val="24"/>
        </w:rPr>
        <w:t xml:space="preserve">Voor een nieuw opgericht of ingesteld lichaam moet de registratie van de UBO-gegevens binnen twee weken na de oprichting of instelling plaatsvinden. </w:t>
      </w:r>
    </w:p>
    <w:p w14:paraId="776D9C7E" w14:textId="77777777" w:rsidR="009D133C" w:rsidRDefault="009D133C" w:rsidP="005F5D95">
      <w:pPr>
        <w:pStyle w:val="Heading1"/>
        <w:spacing w:before="0" w:after="0"/>
        <w:rPr>
          <w:b/>
          <w:bCs/>
          <w:color w:val="auto"/>
          <w:sz w:val="24"/>
          <w:szCs w:val="24"/>
        </w:rPr>
      </w:pPr>
    </w:p>
    <w:p w14:paraId="703E5120" w14:textId="667025F9" w:rsidR="00057C8F" w:rsidRPr="005F5D95" w:rsidRDefault="00057C8F" w:rsidP="005F5D95">
      <w:pPr>
        <w:pStyle w:val="Heading1"/>
        <w:spacing w:before="0" w:after="0"/>
        <w:rPr>
          <w:b/>
          <w:bCs/>
          <w:color w:val="auto"/>
          <w:sz w:val="24"/>
          <w:szCs w:val="24"/>
        </w:rPr>
      </w:pPr>
      <w:r w:rsidRPr="005F5D95">
        <w:rPr>
          <w:b/>
          <w:bCs/>
          <w:color w:val="auto"/>
          <w:sz w:val="24"/>
          <w:szCs w:val="24"/>
        </w:rPr>
        <w:t>Reeds bestaande lichamen</w:t>
      </w:r>
    </w:p>
    <w:p w14:paraId="21BB2FEA" w14:textId="3FE7ABD3" w:rsidR="00057C8F" w:rsidRPr="005F5D95" w:rsidRDefault="00057C8F" w:rsidP="005F5D95">
      <w:pPr>
        <w:spacing w:after="0"/>
        <w:rPr>
          <w:sz w:val="24"/>
          <w:szCs w:val="24"/>
        </w:rPr>
      </w:pPr>
      <w:r w:rsidRPr="005F5D95">
        <w:rPr>
          <w:sz w:val="24"/>
          <w:szCs w:val="24"/>
        </w:rPr>
        <w:t xml:space="preserve">Lichamen die al in het handelsregister zijn opgenomen, krijgen een periode van twaalf maanden na de </w:t>
      </w:r>
      <w:r w:rsidR="00A56F1C" w:rsidRPr="005F5D95">
        <w:rPr>
          <w:sz w:val="24"/>
          <w:szCs w:val="24"/>
        </w:rPr>
        <w:t>instelling</w:t>
      </w:r>
      <w:r w:rsidRPr="005F5D95">
        <w:rPr>
          <w:sz w:val="24"/>
          <w:szCs w:val="24"/>
        </w:rPr>
        <w:t xml:space="preserve"> van het UBO-register om de vereiste gegevens aan te leveren.</w:t>
      </w:r>
      <w:r w:rsidR="00A56F1C" w:rsidRPr="005F5D95">
        <w:rPr>
          <w:sz w:val="24"/>
          <w:szCs w:val="24"/>
        </w:rPr>
        <w:t xml:space="preserve"> Die periode loopt per 1 juli 2025 af.</w:t>
      </w:r>
    </w:p>
    <w:p w14:paraId="2529DE14" w14:textId="77777777" w:rsidR="00057C8F" w:rsidRPr="005F5D95" w:rsidRDefault="00057C8F" w:rsidP="005F5D95">
      <w:pPr>
        <w:pStyle w:val="Heading1"/>
        <w:spacing w:after="0"/>
        <w:rPr>
          <w:b/>
          <w:bCs/>
          <w:color w:val="auto"/>
          <w:sz w:val="24"/>
          <w:szCs w:val="24"/>
        </w:rPr>
      </w:pPr>
      <w:r w:rsidRPr="005F5D95">
        <w:rPr>
          <w:b/>
          <w:bCs/>
          <w:color w:val="auto"/>
          <w:sz w:val="24"/>
          <w:szCs w:val="24"/>
        </w:rPr>
        <w:t>Wijzigingen in de UBO-gegevens en/of documenten</w:t>
      </w:r>
    </w:p>
    <w:p w14:paraId="52397656" w14:textId="4A2F5970" w:rsidR="00057C8F" w:rsidRPr="005F5D95" w:rsidRDefault="00057C8F" w:rsidP="005F5D95">
      <w:pPr>
        <w:spacing w:after="0"/>
        <w:rPr>
          <w:sz w:val="24"/>
          <w:szCs w:val="24"/>
        </w:rPr>
      </w:pPr>
      <w:r w:rsidRPr="005F5D95">
        <w:rPr>
          <w:sz w:val="24"/>
          <w:szCs w:val="24"/>
        </w:rPr>
        <w:t xml:space="preserve">Indien er een wijziging is in de gegevens en documenten, moet het bestuur van het betrokken lichaam deze wijziging binnen twee weken na de datum van wijziging </w:t>
      </w:r>
      <w:r w:rsidR="00123C07" w:rsidRPr="005F5D95">
        <w:rPr>
          <w:sz w:val="24"/>
          <w:szCs w:val="24"/>
        </w:rPr>
        <w:t xml:space="preserve">aangeven </w:t>
      </w:r>
      <w:r w:rsidRPr="005F5D95">
        <w:rPr>
          <w:sz w:val="24"/>
          <w:szCs w:val="24"/>
        </w:rPr>
        <w:t>voor registratie in het UBO-register.</w:t>
      </w:r>
    </w:p>
    <w:p w14:paraId="017DAF9E" w14:textId="77777777" w:rsidR="00057C8F" w:rsidRPr="005F5D95" w:rsidRDefault="00057C8F" w:rsidP="005F5D95">
      <w:pPr>
        <w:spacing w:after="0"/>
        <w:rPr>
          <w:sz w:val="24"/>
          <w:szCs w:val="24"/>
        </w:rPr>
      </w:pPr>
      <w:r w:rsidRPr="005F5D95">
        <w:rPr>
          <w:sz w:val="24"/>
          <w:szCs w:val="24"/>
        </w:rPr>
        <w:t>Als de vereiste informatie niet tijdig wordt aangeleverd, stuurt de Secretaris, zodra de omissie bekend wordt, een kennisgeving naar het betrokken lichaam. Hierin wordt aangegeven dat de ontbrekende gegevens alsnog binnen twee weken moeten worden aangeleverd.</w:t>
      </w:r>
    </w:p>
    <w:p w14:paraId="4DC6E2DD" w14:textId="77777777" w:rsidR="00057C8F" w:rsidRPr="005F5D95" w:rsidRDefault="00057C8F" w:rsidP="005F5D95">
      <w:pPr>
        <w:pStyle w:val="Heading1"/>
        <w:spacing w:after="0"/>
        <w:rPr>
          <w:b/>
          <w:bCs/>
          <w:color w:val="auto"/>
          <w:sz w:val="24"/>
          <w:szCs w:val="24"/>
        </w:rPr>
      </w:pPr>
      <w:r w:rsidRPr="005F5D95">
        <w:rPr>
          <w:b/>
          <w:bCs/>
          <w:color w:val="auto"/>
          <w:sz w:val="24"/>
          <w:szCs w:val="24"/>
        </w:rPr>
        <w:t>Inzage en bewaring van de UBO-gegevens</w:t>
      </w:r>
    </w:p>
    <w:p w14:paraId="61FA2767" w14:textId="77777777" w:rsidR="00057C8F" w:rsidRPr="005F5D95" w:rsidRDefault="00057C8F" w:rsidP="005F5D95">
      <w:pPr>
        <w:spacing w:after="0"/>
        <w:rPr>
          <w:sz w:val="24"/>
          <w:szCs w:val="24"/>
        </w:rPr>
      </w:pPr>
      <w:r w:rsidRPr="005F5D95">
        <w:rPr>
          <w:sz w:val="24"/>
          <w:szCs w:val="24"/>
        </w:rPr>
        <w:t>De gegevens en documenten kunnen tot tien jaar na uitschrijving van het lichaam uit het handelsregister worden ingezien. De Kamer meldt de uitschrijving van het lichaam aan de Inspecteur der belastingen. Afwijkend hiervan kunnen de gegevens en documenten, inclusief eventuele wijzigingen, ten aanzien van een uiteindelijk gerechtigde van een lichaam worden ingezien tot tien jaar nadat de natuurlijke persoon niet langer een uiteindelijk gerechtigde van dat lichaam is.</w:t>
      </w:r>
    </w:p>
    <w:p w14:paraId="54C68E08" w14:textId="14F4690F" w:rsidR="00057C8F" w:rsidRPr="005F5D95" w:rsidRDefault="00057C8F" w:rsidP="005F5D95">
      <w:pPr>
        <w:pStyle w:val="Heading1"/>
        <w:spacing w:after="0"/>
        <w:rPr>
          <w:b/>
          <w:bCs/>
          <w:color w:val="auto"/>
          <w:sz w:val="24"/>
          <w:szCs w:val="24"/>
        </w:rPr>
      </w:pPr>
      <w:r w:rsidRPr="005F5D95">
        <w:rPr>
          <w:b/>
          <w:bCs/>
          <w:color w:val="auto"/>
          <w:sz w:val="24"/>
          <w:szCs w:val="24"/>
        </w:rPr>
        <w:lastRenderedPageBreak/>
        <w:t xml:space="preserve">Melding aan de </w:t>
      </w:r>
      <w:r w:rsidR="006F3698" w:rsidRPr="005F5D95">
        <w:rPr>
          <w:b/>
          <w:bCs/>
          <w:color w:val="auto"/>
          <w:sz w:val="24"/>
          <w:szCs w:val="24"/>
        </w:rPr>
        <w:t>K</w:t>
      </w:r>
      <w:r w:rsidRPr="005F5D95">
        <w:rPr>
          <w:b/>
          <w:bCs/>
          <w:color w:val="auto"/>
          <w:sz w:val="24"/>
          <w:szCs w:val="24"/>
        </w:rPr>
        <w:t>amer</w:t>
      </w:r>
    </w:p>
    <w:p w14:paraId="6043AD29" w14:textId="77777777" w:rsidR="00057C8F" w:rsidRPr="005F5D95" w:rsidRDefault="00057C8F" w:rsidP="005F5D95">
      <w:pPr>
        <w:spacing w:after="0"/>
        <w:rPr>
          <w:sz w:val="24"/>
          <w:szCs w:val="24"/>
        </w:rPr>
      </w:pPr>
      <w:r w:rsidRPr="005F5D95">
        <w:rPr>
          <w:sz w:val="24"/>
          <w:szCs w:val="24"/>
        </w:rPr>
        <w:t>Een bevoegde instantie meldt aan de Kamer elke discrepantie die zij vindt tussen de geregistreerde gegevens over uiteindelijk gerechtigden uit het UBO-register en de informatie over die gerechtigden waarover zij anderszins beschikt. Dit geldt echter niet wanneer het nakomen van deze verplichting de wettelijke taken of bevoegdheden van de betreffende instantie onnodig zou verstoren.</w:t>
      </w:r>
    </w:p>
    <w:p w14:paraId="1F56D916" w14:textId="77777777" w:rsidR="00057C8F" w:rsidRPr="005F5D95" w:rsidRDefault="00057C8F" w:rsidP="005F5D95">
      <w:pPr>
        <w:spacing w:after="0"/>
        <w:rPr>
          <w:sz w:val="24"/>
          <w:szCs w:val="24"/>
        </w:rPr>
      </w:pPr>
      <w:r w:rsidRPr="005F5D95">
        <w:rPr>
          <w:sz w:val="24"/>
          <w:szCs w:val="24"/>
        </w:rPr>
        <w:t>De Secretaris verwerkt de gegevens en brengt het bestuur van het betrokken lichaam op de hoogte van deze wijziging.</w:t>
      </w:r>
    </w:p>
    <w:p w14:paraId="61D2D6A4" w14:textId="77777777" w:rsidR="00057C8F" w:rsidRPr="005F5D95" w:rsidRDefault="00057C8F" w:rsidP="005F5D95">
      <w:pPr>
        <w:pStyle w:val="Heading1"/>
        <w:spacing w:after="0"/>
        <w:rPr>
          <w:b/>
          <w:bCs/>
          <w:color w:val="auto"/>
          <w:sz w:val="24"/>
          <w:szCs w:val="24"/>
        </w:rPr>
      </w:pPr>
      <w:r w:rsidRPr="005F5D95">
        <w:rPr>
          <w:b/>
          <w:bCs/>
          <w:color w:val="auto"/>
          <w:sz w:val="24"/>
          <w:szCs w:val="24"/>
        </w:rPr>
        <w:t>Meldingen aan de Inspecteur der Belastingen</w:t>
      </w:r>
    </w:p>
    <w:p w14:paraId="70812D83" w14:textId="77777777" w:rsidR="00057C8F" w:rsidRPr="005F5D95" w:rsidRDefault="00057C8F" w:rsidP="005F5D95">
      <w:pPr>
        <w:spacing w:after="0"/>
        <w:rPr>
          <w:sz w:val="24"/>
          <w:szCs w:val="24"/>
        </w:rPr>
      </w:pPr>
      <w:r w:rsidRPr="005F5D95">
        <w:rPr>
          <w:sz w:val="24"/>
          <w:szCs w:val="24"/>
        </w:rPr>
        <w:t>Zowel de Secretaris als een bevoegde instantie melden aan de Inspecteur der Belastingen in gevallen waarin:</w:t>
      </w:r>
    </w:p>
    <w:p w14:paraId="26BBF5EC" w14:textId="77777777" w:rsidR="00057C8F" w:rsidRPr="005F5D95" w:rsidRDefault="00057C8F" w:rsidP="005F5D95">
      <w:pPr>
        <w:pStyle w:val="ListParagraph"/>
        <w:numPr>
          <w:ilvl w:val="2"/>
          <w:numId w:val="19"/>
        </w:numPr>
        <w:spacing w:after="0"/>
        <w:rPr>
          <w:sz w:val="24"/>
          <w:szCs w:val="24"/>
        </w:rPr>
      </w:pPr>
      <w:r w:rsidRPr="005F5D95">
        <w:rPr>
          <w:sz w:val="24"/>
          <w:szCs w:val="24"/>
        </w:rPr>
        <w:t>de aangever de gegeven aanwijzingen niet heeft opgevolgd of de opgave niet tijdig is verbeterd;</w:t>
      </w:r>
    </w:p>
    <w:p w14:paraId="13D637FA" w14:textId="77777777" w:rsidR="00057C8F" w:rsidRPr="005F5D95" w:rsidRDefault="00057C8F" w:rsidP="005F5D95">
      <w:pPr>
        <w:pStyle w:val="ListParagraph"/>
        <w:numPr>
          <w:ilvl w:val="2"/>
          <w:numId w:val="19"/>
        </w:numPr>
        <w:spacing w:after="0"/>
        <w:rPr>
          <w:sz w:val="24"/>
          <w:szCs w:val="24"/>
        </w:rPr>
      </w:pPr>
      <w:r w:rsidRPr="005F5D95">
        <w:rPr>
          <w:sz w:val="24"/>
          <w:szCs w:val="24"/>
        </w:rPr>
        <w:t>het vermoeden bestaat dat niet alle gegevens zijn verstrekt;</w:t>
      </w:r>
    </w:p>
    <w:p w14:paraId="1C2E321C" w14:textId="77777777" w:rsidR="00057C8F" w:rsidRPr="005F5D95" w:rsidRDefault="00057C8F" w:rsidP="005F5D95">
      <w:pPr>
        <w:pStyle w:val="ListParagraph"/>
        <w:numPr>
          <w:ilvl w:val="2"/>
          <w:numId w:val="19"/>
        </w:numPr>
        <w:spacing w:after="0"/>
        <w:rPr>
          <w:sz w:val="24"/>
          <w:szCs w:val="24"/>
        </w:rPr>
      </w:pPr>
      <w:r w:rsidRPr="005F5D95">
        <w:rPr>
          <w:sz w:val="24"/>
          <w:szCs w:val="24"/>
        </w:rPr>
        <w:t>de registratie van een nieuw opgericht of ingesteld lichaam of de wijziging van gegevens niet binnen de gestelde termijn is voltooid;</w:t>
      </w:r>
    </w:p>
    <w:p w14:paraId="3345302B" w14:textId="77777777" w:rsidR="00057C8F" w:rsidRPr="005F5D95" w:rsidRDefault="00057C8F" w:rsidP="005F5D95">
      <w:pPr>
        <w:pStyle w:val="ListParagraph"/>
        <w:numPr>
          <w:ilvl w:val="2"/>
          <w:numId w:val="19"/>
        </w:numPr>
        <w:spacing w:after="0"/>
        <w:rPr>
          <w:sz w:val="24"/>
          <w:szCs w:val="24"/>
        </w:rPr>
      </w:pPr>
      <w:r w:rsidRPr="005F5D95">
        <w:rPr>
          <w:sz w:val="24"/>
          <w:szCs w:val="24"/>
        </w:rPr>
        <w:t>er in strijd is gehandeld met het landsbesluit.</w:t>
      </w:r>
    </w:p>
    <w:p w14:paraId="0055ACDA" w14:textId="77777777" w:rsidR="00057C8F" w:rsidRPr="005F5D95" w:rsidRDefault="00057C8F" w:rsidP="005F5D95">
      <w:pPr>
        <w:pStyle w:val="Heading1"/>
        <w:spacing w:after="0"/>
        <w:rPr>
          <w:b/>
          <w:bCs/>
          <w:color w:val="auto"/>
          <w:sz w:val="24"/>
          <w:szCs w:val="24"/>
        </w:rPr>
      </w:pPr>
      <w:r w:rsidRPr="005F5D95">
        <w:rPr>
          <w:b/>
          <w:bCs/>
          <w:color w:val="auto"/>
          <w:sz w:val="24"/>
          <w:szCs w:val="24"/>
        </w:rPr>
        <w:t>Handhaving</w:t>
      </w:r>
    </w:p>
    <w:p w14:paraId="71D4E8C1" w14:textId="264A842C" w:rsidR="00057C8F" w:rsidRPr="005F5D95" w:rsidRDefault="00057C8F" w:rsidP="005F5D95">
      <w:pPr>
        <w:spacing w:after="0"/>
        <w:rPr>
          <w:sz w:val="24"/>
          <w:szCs w:val="24"/>
        </w:rPr>
      </w:pPr>
      <w:r w:rsidRPr="005F5D95">
        <w:rPr>
          <w:sz w:val="24"/>
          <w:szCs w:val="24"/>
        </w:rPr>
        <w:t xml:space="preserve">De Kamer, alsmede een bevoegde instantie, kan melding doen van onjuist of onvolledige vastlegging bij de Inspecteur der Belastingen. De Inspecteur der Belastingen is dan bevoegd om passende maatregelen te nemen. </w:t>
      </w:r>
    </w:p>
    <w:p w14:paraId="0FF231D9" w14:textId="77777777" w:rsidR="00057C8F" w:rsidRPr="005F5D95" w:rsidRDefault="00057C8F" w:rsidP="005F5D95">
      <w:pPr>
        <w:pStyle w:val="Heading1"/>
        <w:spacing w:after="0"/>
        <w:rPr>
          <w:b/>
          <w:bCs/>
          <w:color w:val="auto"/>
          <w:sz w:val="24"/>
          <w:szCs w:val="24"/>
        </w:rPr>
      </w:pPr>
      <w:r w:rsidRPr="005F5D95">
        <w:rPr>
          <w:b/>
          <w:bCs/>
          <w:color w:val="auto"/>
          <w:sz w:val="24"/>
          <w:szCs w:val="24"/>
        </w:rPr>
        <w:t>Overgangs- en slotbepalingen</w:t>
      </w:r>
    </w:p>
    <w:p w14:paraId="11839D80" w14:textId="4AAC60BA" w:rsidR="00057C8F" w:rsidRPr="005F5D95" w:rsidRDefault="00057C8F" w:rsidP="005F5D95">
      <w:pPr>
        <w:spacing w:after="0"/>
        <w:rPr>
          <w:sz w:val="24"/>
          <w:szCs w:val="24"/>
        </w:rPr>
      </w:pPr>
      <w:r w:rsidRPr="005F5D95">
        <w:rPr>
          <w:sz w:val="24"/>
          <w:szCs w:val="24"/>
        </w:rPr>
        <w:t xml:space="preserve">Binnen zes maanden na de inwerkingtreding van dit besluit worden de gegevens van lichamen die al in het handelsregister staan, door de Kamer ingeschreven in het UBO-register. Voor andere opgaven ter inschrijving in het UBO-register en deponering van bescheiden ten kantore van het UBO-register, waartoe de verplichting ontstaat als gevolg van de inwerkingtreding van dit landsbesluit, geldt, uitsluitend ten aanzien van lichamen welke op de datum van inwerkingtreding van dit landsbesluit reeds in het handelsregister zijn ingeschreven, een termijn van twaalf maanden na de inwerkingtreding van het landsbesluit UBO-register. </w:t>
      </w:r>
    </w:p>
    <w:p w14:paraId="09195CDF" w14:textId="77777777" w:rsidR="00123C07" w:rsidRPr="005F5D95" w:rsidRDefault="00123C07" w:rsidP="005F5D95">
      <w:pPr>
        <w:spacing w:after="0"/>
        <w:rPr>
          <w:b/>
          <w:bCs/>
          <w:sz w:val="24"/>
          <w:szCs w:val="24"/>
        </w:rPr>
      </w:pPr>
    </w:p>
    <w:p w14:paraId="4282C6ED" w14:textId="77777777" w:rsidR="00057C8F" w:rsidRPr="005F5D95" w:rsidRDefault="00057C8F" w:rsidP="005F5D95">
      <w:pPr>
        <w:spacing w:after="0"/>
        <w:rPr>
          <w:b/>
          <w:bCs/>
          <w:sz w:val="24"/>
          <w:szCs w:val="24"/>
        </w:rPr>
      </w:pPr>
      <w:r w:rsidRPr="005F5D95">
        <w:rPr>
          <w:b/>
          <w:bCs/>
          <w:sz w:val="24"/>
          <w:szCs w:val="24"/>
        </w:rPr>
        <w:t>Bron:</w:t>
      </w:r>
      <w:r w:rsidRPr="005F5D95">
        <w:rPr>
          <w:b/>
          <w:bCs/>
          <w:sz w:val="24"/>
          <w:szCs w:val="24"/>
        </w:rPr>
        <w:tab/>
        <w:t>Landsbesluit UBO-registratie zoals gepubliceerd op 7 juni 2024</w:t>
      </w:r>
    </w:p>
    <w:sectPr w:rsidR="00057C8F" w:rsidRPr="005F5D95" w:rsidSect="00692AEE">
      <w:pgSz w:w="12240" w:h="15840"/>
      <w:pgMar w:top="1440" w:right="126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4DB1"/>
    <w:multiLevelType w:val="hybridMultilevel"/>
    <w:tmpl w:val="418272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560B9C"/>
    <w:multiLevelType w:val="hybridMultilevel"/>
    <w:tmpl w:val="C9CEA184"/>
    <w:lvl w:ilvl="0" w:tplc="2528CB0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61997"/>
    <w:multiLevelType w:val="multilevel"/>
    <w:tmpl w:val="E0E8E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E370B"/>
    <w:multiLevelType w:val="hybridMultilevel"/>
    <w:tmpl w:val="8F14827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559F8"/>
    <w:multiLevelType w:val="hybridMultilevel"/>
    <w:tmpl w:val="8ADED6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B2C41"/>
    <w:multiLevelType w:val="hybridMultilevel"/>
    <w:tmpl w:val="F620AE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34629"/>
    <w:multiLevelType w:val="multilevel"/>
    <w:tmpl w:val="B540F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602D6A"/>
    <w:multiLevelType w:val="hybridMultilevel"/>
    <w:tmpl w:val="DC0683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85B96"/>
    <w:multiLevelType w:val="hybridMultilevel"/>
    <w:tmpl w:val="A32662D4"/>
    <w:lvl w:ilvl="0" w:tplc="2528CB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17040"/>
    <w:multiLevelType w:val="multilevel"/>
    <w:tmpl w:val="343AE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C597C"/>
    <w:multiLevelType w:val="hybridMultilevel"/>
    <w:tmpl w:val="351E3708"/>
    <w:lvl w:ilvl="0" w:tplc="2644809A">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EF48C2"/>
    <w:multiLevelType w:val="hybridMultilevel"/>
    <w:tmpl w:val="D398EC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41101C"/>
    <w:multiLevelType w:val="hybridMultilevel"/>
    <w:tmpl w:val="003C4134"/>
    <w:lvl w:ilvl="0" w:tplc="849254A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8D5459"/>
    <w:multiLevelType w:val="hybridMultilevel"/>
    <w:tmpl w:val="5712C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91261"/>
    <w:multiLevelType w:val="multilevel"/>
    <w:tmpl w:val="8D52F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9B591F"/>
    <w:multiLevelType w:val="multilevel"/>
    <w:tmpl w:val="7D8864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C176E4"/>
    <w:multiLevelType w:val="hybridMultilevel"/>
    <w:tmpl w:val="1F9038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E12757"/>
    <w:multiLevelType w:val="hybridMultilevel"/>
    <w:tmpl w:val="B9DCE5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3108FF"/>
    <w:multiLevelType w:val="hybridMultilevel"/>
    <w:tmpl w:val="A2BE0300"/>
    <w:lvl w:ilvl="0" w:tplc="04090019">
      <w:start w:val="1"/>
      <w:numFmt w:val="lowerLetter"/>
      <w:lvlText w:val="%1."/>
      <w:lvlJc w:val="left"/>
      <w:pPr>
        <w:ind w:left="720" w:hanging="360"/>
      </w:pPr>
    </w:lvl>
    <w:lvl w:ilvl="1" w:tplc="8A320292">
      <w:start w:val="1"/>
      <w:numFmt w:val="decimal"/>
      <w:lvlText w:val="%2."/>
      <w:lvlJc w:val="left"/>
      <w:pPr>
        <w:ind w:left="1800" w:hanging="720"/>
      </w:pPr>
      <w:rPr>
        <w:rFonts w:hint="default"/>
      </w:rPr>
    </w:lvl>
    <w:lvl w:ilvl="2" w:tplc="92BCE0F4">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3245F"/>
    <w:multiLevelType w:val="hybridMultilevel"/>
    <w:tmpl w:val="EEB400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B1067B"/>
    <w:multiLevelType w:val="hybridMultilevel"/>
    <w:tmpl w:val="EFC4F940"/>
    <w:lvl w:ilvl="0" w:tplc="FD044134">
      <w:start w:val="5"/>
      <w:numFmt w:val="bullet"/>
      <w:lvlText w:val="-"/>
      <w:lvlJc w:val="left"/>
      <w:pPr>
        <w:ind w:left="720" w:hanging="360"/>
      </w:pPr>
      <w:rPr>
        <w:rFonts w:ascii="Aptos Display" w:eastAsiaTheme="majorEastAsia" w:hAnsi="Aptos Display"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EC5351"/>
    <w:multiLevelType w:val="hybridMultilevel"/>
    <w:tmpl w:val="2018BA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E7B57"/>
    <w:multiLevelType w:val="multilevel"/>
    <w:tmpl w:val="39D275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681F1C"/>
    <w:multiLevelType w:val="hybridMultilevel"/>
    <w:tmpl w:val="792ABF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712DB1"/>
    <w:multiLevelType w:val="hybridMultilevel"/>
    <w:tmpl w:val="EFFC5A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4150063">
    <w:abstractNumId w:val="6"/>
  </w:num>
  <w:num w:numId="2" w16cid:durableId="1581139764">
    <w:abstractNumId w:val="2"/>
  </w:num>
  <w:num w:numId="3" w16cid:durableId="815879240">
    <w:abstractNumId w:val="22"/>
  </w:num>
  <w:num w:numId="4" w16cid:durableId="548683857">
    <w:abstractNumId w:val="14"/>
  </w:num>
  <w:num w:numId="5" w16cid:durableId="1878734538">
    <w:abstractNumId w:val="9"/>
  </w:num>
  <w:num w:numId="6" w16cid:durableId="368142039">
    <w:abstractNumId w:val="15"/>
  </w:num>
  <w:num w:numId="7" w16cid:durableId="681123651">
    <w:abstractNumId w:val="1"/>
  </w:num>
  <w:num w:numId="8" w16cid:durableId="1919706733">
    <w:abstractNumId w:val="18"/>
  </w:num>
  <w:num w:numId="9" w16cid:durableId="1295452767">
    <w:abstractNumId w:val="5"/>
  </w:num>
  <w:num w:numId="10" w16cid:durableId="1726635282">
    <w:abstractNumId w:val="19"/>
  </w:num>
  <w:num w:numId="11" w16cid:durableId="1826360320">
    <w:abstractNumId w:val="7"/>
  </w:num>
  <w:num w:numId="12" w16cid:durableId="1055471623">
    <w:abstractNumId w:val="4"/>
  </w:num>
  <w:num w:numId="13" w16cid:durableId="2063289767">
    <w:abstractNumId w:val="21"/>
  </w:num>
  <w:num w:numId="14" w16cid:durableId="1461075373">
    <w:abstractNumId w:val="3"/>
  </w:num>
  <w:num w:numId="15" w16cid:durableId="1114253431">
    <w:abstractNumId w:val="8"/>
  </w:num>
  <w:num w:numId="16" w16cid:durableId="456071469">
    <w:abstractNumId w:val="24"/>
  </w:num>
  <w:num w:numId="17" w16cid:durableId="776951544">
    <w:abstractNumId w:val="23"/>
  </w:num>
  <w:num w:numId="18" w16cid:durableId="1517387134">
    <w:abstractNumId w:val="16"/>
  </w:num>
  <w:num w:numId="19" w16cid:durableId="957836072">
    <w:abstractNumId w:val="0"/>
  </w:num>
  <w:num w:numId="20" w16cid:durableId="1105033155">
    <w:abstractNumId w:val="12"/>
  </w:num>
  <w:num w:numId="21" w16cid:durableId="1101754155">
    <w:abstractNumId w:val="10"/>
  </w:num>
  <w:num w:numId="22" w16cid:durableId="1950352383">
    <w:abstractNumId w:val="11"/>
  </w:num>
  <w:num w:numId="23" w16cid:durableId="1066297400">
    <w:abstractNumId w:val="13"/>
  </w:num>
  <w:num w:numId="24" w16cid:durableId="933393518">
    <w:abstractNumId w:val="20"/>
  </w:num>
  <w:num w:numId="25" w16cid:durableId="20102829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A56"/>
    <w:rsid w:val="00014A56"/>
    <w:rsid w:val="00022C59"/>
    <w:rsid w:val="00057C8F"/>
    <w:rsid w:val="00082727"/>
    <w:rsid w:val="00123C07"/>
    <w:rsid w:val="00135109"/>
    <w:rsid w:val="001E24EB"/>
    <w:rsid w:val="00275DCC"/>
    <w:rsid w:val="002A28B7"/>
    <w:rsid w:val="002A5508"/>
    <w:rsid w:val="002D1DC2"/>
    <w:rsid w:val="003129EA"/>
    <w:rsid w:val="003D0CF3"/>
    <w:rsid w:val="003F2D32"/>
    <w:rsid w:val="0040427E"/>
    <w:rsid w:val="00497C5C"/>
    <w:rsid w:val="004A5D2C"/>
    <w:rsid w:val="004D634C"/>
    <w:rsid w:val="005048FC"/>
    <w:rsid w:val="005B0F66"/>
    <w:rsid w:val="005F5D95"/>
    <w:rsid w:val="00606B6A"/>
    <w:rsid w:val="00617A6C"/>
    <w:rsid w:val="00692AEE"/>
    <w:rsid w:val="006A5BCA"/>
    <w:rsid w:val="006E7CB8"/>
    <w:rsid w:val="006F3698"/>
    <w:rsid w:val="00726673"/>
    <w:rsid w:val="00737A1E"/>
    <w:rsid w:val="00755EA2"/>
    <w:rsid w:val="007A2DE3"/>
    <w:rsid w:val="007A5F27"/>
    <w:rsid w:val="007B1AA3"/>
    <w:rsid w:val="007D1EED"/>
    <w:rsid w:val="00805697"/>
    <w:rsid w:val="00856797"/>
    <w:rsid w:val="00867A11"/>
    <w:rsid w:val="008F14F9"/>
    <w:rsid w:val="008F18D9"/>
    <w:rsid w:val="008F6B15"/>
    <w:rsid w:val="00917C39"/>
    <w:rsid w:val="00920C8E"/>
    <w:rsid w:val="00954448"/>
    <w:rsid w:val="00955150"/>
    <w:rsid w:val="00984F50"/>
    <w:rsid w:val="009A18A0"/>
    <w:rsid w:val="009D133C"/>
    <w:rsid w:val="00A471BB"/>
    <w:rsid w:val="00A56F1C"/>
    <w:rsid w:val="00A667D5"/>
    <w:rsid w:val="00A677E7"/>
    <w:rsid w:val="00AA3DC5"/>
    <w:rsid w:val="00BC56CF"/>
    <w:rsid w:val="00BE45CF"/>
    <w:rsid w:val="00BE6D77"/>
    <w:rsid w:val="00C1383A"/>
    <w:rsid w:val="00C27C52"/>
    <w:rsid w:val="00C77318"/>
    <w:rsid w:val="00C87419"/>
    <w:rsid w:val="00D00CD5"/>
    <w:rsid w:val="00D20172"/>
    <w:rsid w:val="00D864B5"/>
    <w:rsid w:val="00D944D4"/>
    <w:rsid w:val="00E203AB"/>
    <w:rsid w:val="00E806DA"/>
    <w:rsid w:val="00EB7A20"/>
    <w:rsid w:val="00F30266"/>
    <w:rsid w:val="00F31840"/>
    <w:rsid w:val="00FE17D0"/>
  </w:rsids>
  <m:mathPr>
    <m:mathFont m:val="Cambria Math"/>
    <m:brkBin m:val="before"/>
    <m:brkBinSub m:val="--"/>
    <m:smallFrac m:val="0"/>
    <m:dispDef/>
    <m:lMargin m:val="0"/>
    <m:rMargin m:val="0"/>
    <m:defJc m:val="centerGroup"/>
    <m:wrapIndent m:val="1440"/>
    <m:intLim m:val="subSup"/>
    <m:naryLim m:val="undOvr"/>
  </m:mathPr>
  <w:themeFontLang w:val="en-US"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0959"/>
  <w15:chartTrackingRefBased/>
  <w15:docId w15:val="{632B6049-61B7-45C8-87CF-E5EF03A3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A56"/>
    <w:rPr>
      <w:rFonts w:eastAsiaTheme="majorEastAsia" w:cstheme="majorBidi"/>
      <w:color w:val="272727" w:themeColor="text1" w:themeTint="D8"/>
    </w:rPr>
  </w:style>
  <w:style w:type="paragraph" w:styleId="Title">
    <w:name w:val="Title"/>
    <w:basedOn w:val="Normal"/>
    <w:next w:val="Normal"/>
    <w:link w:val="TitleChar"/>
    <w:uiPriority w:val="10"/>
    <w:qFormat/>
    <w:rsid w:val="00014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A56"/>
    <w:pPr>
      <w:spacing w:before="160"/>
      <w:jc w:val="center"/>
    </w:pPr>
    <w:rPr>
      <w:i/>
      <w:iCs/>
      <w:color w:val="404040" w:themeColor="text1" w:themeTint="BF"/>
    </w:rPr>
  </w:style>
  <w:style w:type="character" w:customStyle="1" w:styleId="QuoteChar">
    <w:name w:val="Quote Char"/>
    <w:basedOn w:val="DefaultParagraphFont"/>
    <w:link w:val="Quote"/>
    <w:uiPriority w:val="29"/>
    <w:rsid w:val="00014A56"/>
    <w:rPr>
      <w:i/>
      <w:iCs/>
      <w:color w:val="404040" w:themeColor="text1" w:themeTint="BF"/>
    </w:rPr>
  </w:style>
  <w:style w:type="paragraph" w:styleId="ListParagraph">
    <w:name w:val="List Paragraph"/>
    <w:basedOn w:val="Normal"/>
    <w:qFormat/>
    <w:rsid w:val="00014A56"/>
    <w:pPr>
      <w:ind w:left="720"/>
      <w:contextualSpacing/>
    </w:pPr>
  </w:style>
  <w:style w:type="character" w:styleId="IntenseEmphasis">
    <w:name w:val="Intense Emphasis"/>
    <w:basedOn w:val="DefaultParagraphFont"/>
    <w:uiPriority w:val="21"/>
    <w:qFormat/>
    <w:rsid w:val="00014A56"/>
    <w:rPr>
      <w:i/>
      <w:iCs/>
      <w:color w:val="0F4761" w:themeColor="accent1" w:themeShade="BF"/>
    </w:rPr>
  </w:style>
  <w:style w:type="paragraph" w:styleId="IntenseQuote">
    <w:name w:val="Intense Quote"/>
    <w:basedOn w:val="Normal"/>
    <w:next w:val="Normal"/>
    <w:link w:val="IntenseQuoteChar"/>
    <w:uiPriority w:val="30"/>
    <w:qFormat/>
    <w:rsid w:val="00014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A56"/>
    <w:rPr>
      <w:i/>
      <w:iCs/>
      <w:color w:val="0F4761" w:themeColor="accent1" w:themeShade="BF"/>
    </w:rPr>
  </w:style>
  <w:style w:type="character" w:styleId="IntenseReference">
    <w:name w:val="Intense Reference"/>
    <w:basedOn w:val="DefaultParagraphFont"/>
    <w:uiPriority w:val="32"/>
    <w:qFormat/>
    <w:rsid w:val="00014A56"/>
    <w:rPr>
      <w:b/>
      <w:bCs/>
      <w:smallCaps/>
      <w:color w:val="0F4761" w:themeColor="accent1" w:themeShade="BF"/>
      <w:spacing w:val="5"/>
    </w:rPr>
  </w:style>
  <w:style w:type="character" w:styleId="Hyperlink">
    <w:name w:val="Hyperlink"/>
    <w:basedOn w:val="DefaultParagraphFont"/>
    <w:uiPriority w:val="99"/>
    <w:unhideWhenUsed/>
    <w:rsid w:val="00014A56"/>
    <w:rPr>
      <w:color w:val="467886" w:themeColor="hyperlink"/>
      <w:u w:val="single"/>
    </w:rPr>
  </w:style>
  <w:style w:type="character" w:styleId="UnresolvedMention">
    <w:name w:val="Unresolved Mention"/>
    <w:basedOn w:val="DefaultParagraphFont"/>
    <w:uiPriority w:val="99"/>
    <w:semiHidden/>
    <w:unhideWhenUsed/>
    <w:rsid w:val="00014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2759">
      <w:bodyDiv w:val="1"/>
      <w:marLeft w:val="0"/>
      <w:marRight w:val="0"/>
      <w:marTop w:val="0"/>
      <w:marBottom w:val="0"/>
      <w:divBdr>
        <w:top w:val="none" w:sz="0" w:space="0" w:color="auto"/>
        <w:left w:val="none" w:sz="0" w:space="0" w:color="auto"/>
        <w:bottom w:val="none" w:sz="0" w:space="0" w:color="auto"/>
        <w:right w:val="none" w:sz="0" w:space="0" w:color="auto"/>
      </w:divBdr>
    </w:div>
    <w:div w:id="25861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bo.curacao-chamber.cw" TargetMode="External"/><Relationship Id="rId3" Type="http://schemas.openxmlformats.org/officeDocument/2006/relationships/settings" Target="settings.xml"/><Relationship Id="rId7" Type="http://schemas.openxmlformats.org/officeDocument/2006/relationships/hyperlink" Target="mailto:ubo@curacao-chamber.c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prog\wp51\graphics\kvkpcx.wp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2254</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Admin</cp:lastModifiedBy>
  <cp:revision>3</cp:revision>
  <cp:lastPrinted>2025-05-19T14:59:00Z</cp:lastPrinted>
  <dcterms:created xsi:type="dcterms:W3CDTF">2025-11-01T17:55:00Z</dcterms:created>
  <dcterms:modified xsi:type="dcterms:W3CDTF">2025-11-01T19:01:00Z</dcterms:modified>
</cp:coreProperties>
</file>